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8267D" w14:textId="77777777" w:rsidR="000B7B1D" w:rsidRPr="000B7B1D" w:rsidRDefault="000B7B1D" w:rsidP="00B81EAC">
      <w:pPr>
        <w:spacing w:after="0" w:line="480" w:lineRule="auto"/>
        <w:jc w:val="both"/>
        <w:rPr>
          <w:rFonts w:ascii="Times New Roman" w:hAnsi="Times New Roman" w:cs="Times New Roman"/>
          <w:b/>
          <w:sz w:val="24"/>
          <w:szCs w:val="24"/>
        </w:rPr>
      </w:pPr>
      <w:r w:rsidRPr="000B7B1D">
        <w:rPr>
          <w:rFonts w:ascii="Times New Roman" w:hAnsi="Times New Roman" w:cs="Times New Roman"/>
          <w:b/>
          <w:sz w:val="24"/>
          <w:szCs w:val="24"/>
        </w:rPr>
        <w:t>Supporting Information</w:t>
      </w:r>
    </w:p>
    <w:p w14:paraId="49925A41" w14:textId="77777777" w:rsidR="00F27467" w:rsidRPr="00F27467" w:rsidRDefault="00F27467" w:rsidP="00B81EAC">
      <w:pPr>
        <w:spacing w:after="0" w:line="480" w:lineRule="auto"/>
        <w:rPr>
          <w:rFonts w:ascii="Times New Roman" w:hAnsi="Times New Roman" w:cs="Times New Roman"/>
          <w:b/>
          <w:bCs/>
          <w:sz w:val="24"/>
          <w:szCs w:val="28"/>
        </w:rPr>
      </w:pPr>
      <w:r w:rsidRPr="00F27467">
        <w:rPr>
          <w:rFonts w:ascii="Times New Roman" w:hAnsi="Times New Roman" w:cs="Times New Roman"/>
          <w:b/>
          <w:bCs/>
          <w:sz w:val="24"/>
          <w:szCs w:val="28"/>
        </w:rPr>
        <w:t>Appendix S1</w:t>
      </w:r>
    </w:p>
    <w:p w14:paraId="7681066F" w14:textId="0CE3F10F" w:rsidR="004C5D24" w:rsidRDefault="006D66DF" w:rsidP="004C5D24">
      <w:pPr>
        <w:pStyle w:val="Default"/>
        <w:snapToGrid w:val="0"/>
        <w:spacing w:line="480" w:lineRule="auto"/>
        <w:jc w:val="both"/>
        <w:rPr>
          <w:rFonts w:ascii="Times New Roman" w:hAnsi="Times New Roman" w:cs="Times New Roman"/>
          <w:lang w:val="en-US"/>
        </w:rPr>
      </w:pPr>
      <w:r>
        <w:rPr>
          <w:rFonts w:ascii="Times New Roman" w:hAnsi="Times New Roman" w:cs="Times New Roman"/>
          <w:b/>
        </w:rPr>
        <w:t>E</w:t>
      </w:r>
      <w:r w:rsidR="00B834B4">
        <w:rPr>
          <w:rFonts w:ascii="Times New Roman" w:hAnsi="Times New Roman" w:cs="Times New Roman"/>
          <w:b/>
        </w:rPr>
        <w:t>ligib</w:t>
      </w:r>
      <w:r>
        <w:rPr>
          <w:rFonts w:ascii="Times New Roman" w:hAnsi="Times New Roman" w:cs="Times New Roman"/>
          <w:b/>
        </w:rPr>
        <w:t>le population</w:t>
      </w:r>
      <w:r w:rsidR="00BF4FBD">
        <w:rPr>
          <w:rFonts w:ascii="Times New Roman" w:hAnsi="Times New Roman" w:cs="Times New Roman"/>
          <w:lang w:val="en-US"/>
        </w:rPr>
        <w:t>—</w:t>
      </w:r>
      <w:r w:rsidR="004C5D24">
        <w:rPr>
          <w:rFonts w:ascii="Times New Roman" w:hAnsi="Times New Roman" w:cs="Times New Roman"/>
          <w:lang w:val="en-US"/>
        </w:rPr>
        <w:t>Eligible patients were aged between 18 and 70 years with an established diagnosis of PV based on concomitant presence of blisters and/or erosions of the skin and/or mucous membranes, positive direct immunofluorescence microscopy of skin/mucosa, and presence of serum anti-Dsg3 IgG as determined by enzyme-linked immunosorbent assay (ELISA). At screening, patients had to be either in complete clinical remission or with low-to-moderate clinical disease activity (i.e., Autoimmune Bullous Skin Disorder Intensity Score (ABSIS) ≤17 and Pemphigus Disease Area Index (PDAI) ≤15) and featuring detectable levels of serum anti-Dsg3 IgG. In addition, the patients had to either show peripheral blood CD4</w:t>
      </w:r>
      <w:r w:rsidR="004C5D24">
        <w:rPr>
          <w:rFonts w:ascii="Times New Roman" w:hAnsi="Times New Roman" w:cs="Times New Roman"/>
          <w:vertAlign w:val="superscript"/>
          <w:lang w:val="en-US"/>
        </w:rPr>
        <w:t>+</w:t>
      </w:r>
      <w:r w:rsidR="004C5D24">
        <w:rPr>
          <w:rFonts w:ascii="Times New Roman" w:hAnsi="Times New Roman" w:cs="Times New Roman"/>
          <w:lang w:val="en-US"/>
        </w:rPr>
        <w:t xml:space="preserve"> T cells specific for at least one of the four investigated immunodominant Dsg3 peptides or to carry one of the PV-associated HLA class II alleles (i.e., HLA-DRB1*04:02 or HLA-DQB1*05:03). No immunosuppressive treatment was allowed during the study other than prednisolone or equivalent at ≤10 mg/day. Evidence or known history of SARS-CoV-2 infection within 28 days prior to intervention, or presence of any specific risk factors for SARS-CoV-2 infection at time of intervention was an exclusion criterion. SARS-CoV-2 and influenza vaccinations were allowed not earlier than 28 days after study drug administration.</w:t>
      </w:r>
    </w:p>
    <w:p w14:paraId="4EE0B5E4" w14:textId="77777777" w:rsidR="004C5D24" w:rsidRDefault="004C5D24" w:rsidP="004C5D24">
      <w:pPr>
        <w:pStyle w:val="Default"/>
        <w:snapToGrid w:val="0"/>
        <w:spacing w:line="480" w:lineRule="auto"/>
        <w:jc w:val="both"/>
        <w:rPr>
          <w:rFonts w:ascii="Times New Roman" w:hAnsi="Times New Roman" w:cs="Times New Roman"/>
          <w:lang w:val="en-US"/>
        </w:rPr>
      </w:pPr>
    </w:p>
    <w:p w14:paraId="1DAEBABB" w14:textId="1CD993F8" w:rsidR="004C5D24" w:rsidRDefault="00BF4FBD" w:rsidP="004C5D24">
      <w:pPr>
        <w:pStyle w:val="Default"/>
        <w:snapToGrid w:val="0"/>
        <w:spacing w:line="480" w:lineRule="auto"/>
        <w:jc w:val="both"/>
        <w:rPr>
          <w:rFonts w:ascii="Times New Roman" w:hAnsi="Times New Roman" w:cs="Times New Roman"/>
          <w:lang w:val="en-US"/>
        </w:rPr>
      </w:pPr>
      <w:r>
        <w:rPr>
          <w:rFonts w:ascii="Times New Roman" w:hAnsi="Times New Roman" w:cs="Times New Roman"/>
          <w:b/>
          <w:bCs/>
          <w:lang w:val="en-US"/>
        </w:rPr>
        <w:t xml:space="preserve">Study </w:t>
      </w:r>
      <w:r w:rsidR="00863556">
        <w:rPr>
          <w:rFonts w:ascii="Times New Roman" w:hAnsi="Times New Roman" w:cs="Times New Roman"/>
          <w:b/>
          <w:bCs/>
          <w:lang w:val="en-US"/>
        </w:rPr>
        <w:t>t</w:t>
      </w:r>
      <w:r w:rsidR="004C5D24">
        <w:rPr>
          <w:rFonts w:ascii="Times New Roman" w:hAnsi="Times New Roman" w:cs="Times New Roman"/>
          <w:b/>
          <w:bCs/>
          <w:lang w:val="en-US"/>
        </w:rPr>
        <w:t>reatment</w:t>
      </w:r>
      <w:r w:rsidR="00E347DF">
        <w:rPr>
          <w:rFonts w:ascii="Times New Roman" w:hAnsi="Times New Roman" w:cs="Times New Roman"/>
          <w:lang w:val="en-US"/>
        </w:rPr>
        <w:t xml:space="preserve">— </w:t>
      </w:r>
      <w:r w:rsidR="004C5D24">
        <w:rPr>
          <w:rFonts w:ascii="Times New Roman" w:hAnsi="Times New Roman" w:cs="Times New Roman"/>
          <w:lang w:val="en-US"/>
        </w:rPr>
        <w:t xml:space="preserve">The protocol foresaw the administration of single or multiple (three at two-week intervals) intravenous infusions of TPM203 over a period of 30 minutes at four dose levels, i.e., 0.03, 0.09, 0.3, and 0.9 </w:t>
      </w:r>
      <w:r w:rsidR="004C5D24">
        <w:rPr>
          <w:rFonts w:ascii="Times New Roman" w:eastAsia="Symbol" w:hAnsi="Times New Roman" w:cs="Times New Roman"/>
          <w:lang w:val="en-US"/>
        </w:rPr>
        <w:t>µ</w:t>
      </w:r>
      <w:r w:rsidR="004C5D24">
        <w:rPr>
          <w:rFonts w:ascii="Times New Roman" w:hAnsi="Times New Roman" w:cs="Times New Roman"/>
          <w:lang w:val="en-US"/>
        </w:rPr>
        <w:t>mol hDsg3 peptide for each of the individual four TPCs in Part A, and 0.09 or 0.9 µmol hDsg3 peptide, respectively, in Part B (Figures S1 and S7). The data from one sentinel patient at each dose level was assessed prior to treating the subsequent patients at the same dose level. Furthermore, data from each dose level were reviewed by an independent data monitoring committee (</w:t>
      </w:r>
      <w:proofErr w:type="spellStart"/>
      <w:r w:rsidR="004C5D24">
        <w:rPr>
          <w:rFonts w:ascii="Times New Roman" w:hAnsi="Times New Roman" w:cs="Times New Roman"/>
          <w:lang w:val="en-US"/>
        </w:rPr>
        <w:t>iDMC</w:t>
      </w:r>
      <w:proofErr w:type="spellEnd"/>
      <w:r w:rsidR="004C5D24">
        <w:rPr>
          <w:rFonts w:ascii="Times New Roman" w:hAnsi="Times New Roman" w:cs="Times New Roman"/>
          <w:lang w:val="en-US"/>
        </w:rPr>
        <w:t>) before escalation to the next dose level.</w:t>
      </w:r>
    </w:p>
    <w:p w14:paraId="533E55AC" w14:textId="77777777" w:rsidR="004C5D24" w:rsidRDefault="004C5D24" w:rsidP="004C5D24">
      <w:pPr>
        <w:pStyle w:val="Default"/>
        <w:snapToGrid w:val="0"/>
        <w:spacing w:line="480" w:lineRule="auto"/>
        <w:jc w:val="both"/>
        <w:rPr>
          <w:rFonts w:ascii="Times New Roman" w:hAnsi="Times New Roman" w:cs="Times New Roman"/>
          <w:lang w:val="en-US"/>
        </w:rPr>
      </w:pPr>
    </w:p>
    <w:p w14:paraId="19699B1A" w14:textId="46C46D95" w:rsidR="004C5D24" w:rsidRDefault="0020796F" w:rsidP="004C5D24">
      <w:pPr>
        <w:pStyle w:val="Default"/>
        <w:snapToGrid w:val="0"/>
        <w:spacing w:line="480" w:lineRule="auto"/>
        <w:jc w:val="both"/>
        <w:rPr>
          <w:rFonts w:ascii="Times New Roman" w:hAnsi="Times New Roman" w:cs="Times New Roman"/>
          <w:lang w:val="en-US"/>
        </w:rPr>
      </w:pPr>
      <w:r>
        <w:rPr>
          <w:rFonts w:ascii="Times New Roman" w:hAnsi="Times New Roman" w:cs="Times New Roman"/>
          <w:b/>
          <w:bCs/>
          <w:lang w:val="en-US"/>
        </w:rPr>
        <w:t>Protocol</w:t>
      </w:r>
      <w:r w:rsidR="003052EF">
        <w:rPr>
          <w:rFonts w:ascii="Times New Roman" w:hAnsi="Times New Roman" w:cs="Times New Roman"/>
          <w:b/>
          <w:bCs/>
          <w:lang w:val="en-US"/>
        </w:rPr>
        <w:t>-defined PV worsening</w:t>
      </w:r>
      <w:bookmarkStart w:id="0" w:name="OLE_LINK1"/>
      <w:r w:rsidR="004C5D24">
        <w:rPr>
          <w:rFonts w:ascii="Times New Roman" w:hAnsi="Times New Roman" w:cs="Times New Roman"/>
          <w:lang w:val="en-US"/>
        </w:rPr>
        <w:t>—</w:t>
      </w:r>
      <w:bookmarkEnd w:id="0"/>
      <w:r w:rsidR="00E24FF1">
        <w:rPr>
          <w:rFonts w:ascii="Times New Roman" w:hAnsi="Times New Roman" w:cs="Times New Roman"/>
          <w:lang w:val="en-US"/>
        </w:rPr>
        <w:t>W</w:t>
      </w:r>
      <w:r w:rsidR="004C5D24">
        <w:rPr>
          <w:rFonts w:ascii="Times New Roman" w:hAnsi="Times New Roman" w:cs="Times New Roman"/>
          <w:lang w:val="en-US"/>
        </w:rPr>
        <w:t xml:space="preserve">orsening of PV was defined </w:t>
      </w:r>
      <w:r w:rsidR="00E24FF1">
        <w:rPr>
          <w:rFonts w:ascii="Times New Roman" w:hAnsi="Times New Roman" w:cs="Times New Roman"/>
          <w:lang w:val="en-US"/>
        </w:rPr>
        <w:t xml:space="preserve">in the protocol </w:t>
      </w:r>
      <w:r w:rsidR="004C5D24">
        <w:rPr>
          <w:rFonts w:ascii="Times New Roman" w:hAnsi="Times New Roman" w:cs="Times New Roman"/>
          <w:lang w:val="en-US"/>
        </w:rPr>
        <w:t xml:space="preserve">as: </w:t>
      </w:r>
      <w:proofErr w:type="spellStart"/>
      <w:r w:rsidR="004C5D24">
        <w:rPr>
          <w:rFonts w:ascii="Times New Roman" w:hAnsi="Times New Roman" w:cs="Times New Roman"/>
          <w:lang w:val="en-US"/>
        </w:rPr>
        <w:t>i</w:t>
      </w:r>
      <w:proofErr w:type="spellEnd"/>
      <w:r w:rsidR="004C5D24">
        <w:rPr>
          <w:rFonts w:ascii="Times New Roman" w:hAnsi="Times New Roman" w:cs="Times New Roman"/>
          <w:lang w:val="en-US"/>
        </w:rPr>
        <w:t xml:space="preserve">) newly arisen mucosal or cutaneous lesions or a significant increase in size or severity of existing lesions; ii) a clinically relevant increase in ABSIS and/or PDAI; iii) an increase in Physician's Global Assessment (PGA). </w:t>
      </w:r>
    </w:p>
    <w:p w14:paraId="0C6BEE32" w14:textId="3777BD33" w:rsidR="004C5D24" w:rsidRPr="005170C6" w:rsidRDefault="004C5D24" w:rsidP="003F427C">
      <w:pPr>
        <w:pStyle w:val="Kommentartext"/>
        <w:rPr>
          <w:rFonts w:ascii="Times New Roman" w:hAnsi="Times New Roman" w:cs="Times New Roman"/>
          <w:b/>
          <w:bCs/>
          <w:sz w:val="24"/>
          <w:szCs w:val="24"/>
          <w:lang w:val="en-US"/>
        </w:rPr>
      </w:pPr>
    </w:p>
    <w:p w14:paraId="3E2A1AC2" w14:textId="20A47F5A" w:rsidR="000B7B1D" w:rsidRPr="000B7B1D" w:rsidRDefault="000B7B1D" w:rsidP="00B81EAC">
      <w:pPr>
        <w:snapToGrid w:val="0"/>
        <w:spacing w:after="0" w:line="480" w:lineRule="auto"/>
        <w:jc w:val="both"/>
        <w:rPr>
          <w:rFonts w:ascii="Times New Roman" w:hAnsi="Times New Roman" w:cs="Times New Roman"/>
          <w:b/>
          <w:bCs/>
          <w:sz w:val="24"/>
          <w:szCs w:val="24"/>
        </w:rPr>
      </w:pPr>
      <w:r w:rsidRPr="000B7B1D">
        <w:rPr>
          <w:rFonts w:ascii="Times New Roman" w:hAnsi="Times New Roman" w:cs="Times New Roman"/>
          <w:b/>
          <w:bCs/>
          <w:sz w:val="24"/>
          <w:szCs w:val="24"/>
        </w:rPr>
        <w:t>Manufacturing of the study drug</w:t>
      </w:r>
      <w:r w:rsidRPr="000B7B1D">
        <w:rPr>
          <w:rFonts w:ascii="Times New Roman" w:hAnsi="Times New Roman" w:cs="Times New Roman"/>
          <w:sz w:val="24"/>
          <w:szCs w:val="24"/>
        </w:rPr>
        <w:t>—Topas particles (TPs) were produced by coating oleic acid-stabilized superparamagnetic iron oxide nanoparticles (SPIONs) with an amphiphilic polymer (</w:t>
      </w:r>
      <w:proofErr w:type="gramStart"/>
      <w:r w:rsidRPr="000B7B1D">
        <w:rPr>
          <w:rFonts w:ascii="Times New Roman" w:hAnsi="Times New Roman" w:cs="Times New Roman"/>
          <w:sz w:val="24"/>
          <w:szCs w:val="24"/>
        </w:rPr>
        <w:t>poly(</w:t>
      </w:r>
      <w:proofErr w:type="gramEnd"/>
      <w:r w:rsidRPr="000B7B1D">
        <w:rPr>
          <w:rFonts w:ascii="Times New Roman" w:hAnsi="Times New Roman" w:cs="Times New Roman"/>
          <w:sz w:val="24"/>
          <w:szCs w:val="24"/>
        </w:rPr>
        <w:t xml:space="preserve">maleic anhydride-alt-1-octadecene)) as described </w:t>
      </w:r>
      <w:sdt>
        <w:sdtPr>
          <w:rPr>
            <w:rFonts w:ascii="Times New Roman" w:hAnsi="Times New Roman" w:cs="Times New Roman"/>
            <w:color w:val="000000"/>
            <w:sz w:val="24"/>
            <w:szCs w:val="24"/>
            <w:vertAlign w:val="superscript"/>
          </w:rPr>
          <w:tag w:val="MENDELEY_CITATION_v3_eyJjaXRhdGlvbklEIjoiTUVOREVMRVlfQ0lUQVRJT05fYmRiZjlkN2EtYzgzMi00ZmFkLTk4MWMtODlmNGJiNDJiNzBmIiwicHJvcGVydGllcyI6eyJub3RlSW5kZXgiOjB9LCJpc0VkaXRlZCI6ZmFsc2UsIm1hbnVhbE92ZXJyaWRlIjp7ImlzTWFudWFsbHlPdmVycmlkZGVuIjpmYWxzZSwiY2l0ZXByb2NUZXh0IjoiPHN1cD4xPC9zdXA+IiwibWFudWFsT3ZlcnJpZGVUZXh0IjoiIn0sImNpdGF0aW9uSXRlbXMiOlt7ImlkIjoiNzU1YjNiMjMtNzQwOS0zNjVmLWEzMjYtODc2OTQ1YmM4YWIxIiwiaXRlbURhdGEiOnsidHlwZSI6ImFydGljbGUtam91cm5hbCIsImlkIjoiNzU1YjNiMjMtNzQwOS0zNjVmLWEzMjYtODc2OTQ1YmM4YWIxIiwidGl0bGUiOiJOYW5vcGFydGljbGXigJBtZWRpYXRlZCB0YXJnZXRpbmcgb2YgYXV0b2FudGlnZW4gcGVwdGlkZSB0byBjcm9zc+KAkHByZXNlbnRpbmcgbGl2ZXIgc2ludXNvaWRhbCBlbmRvdGhlbGlhbCBjZWxscyBwcm90ZWN0cyBmcm9tIENEOCBU4oCQY2VsbOKAkGRyaXZlbiBhdXRvaW1tdW5lIGNob2xhbmdpdGlzIiwiYXV0aG9yIjpbeyJmYW1pbHkiOiJDYXJhbWJpYSIsImdpdmVuIjoiQW50b25lbGxhIiwicGFyc2UtbmFtZXMiOmZhbHNlLCJkcm9wcGluZy1wYXJ0aWNsZSI6IiIsIm5vbi1kcm9wcGluZy1wYXJ0aWNsZSI6IiJ9LHsiZmFtaWx5IjoiR290dHdpY2siLCJnaXZlbiI6IkNvcm5lbGlhIiwicGFyc2UtbmFtZXMiOmZhbHNlLCJkcm9wcGluZy1wYXJ0aWNsZSI6IiIsIm5vbi1kcm9wcGluZy1wYXJ0aWNsZSI6IiJ9LHsiZmFtaWx5IjoiU2Nod2luZ2UiLCJnaXZlbiI6IkRvcm90aGVlIiwicGFyc2UtbmFtZXMiOmZhbHNlLCJkcm9wcGluZy1wYXJ0aWNsZSI6IiIsIm5vbi1kcm9wcGluZy1wYXJ0aWNsZSI6IiJ9LHsiZmFtaWx5IjoiU3RlaW4iLCJnaXZlbiI6IlN0ZXBoYW5pZSIsInBhcnNlLW5hbWVzIjpmYWxzZSwiZHJvcHBpbmctcGFydGljbGUiOiIiLCJub24tZHJvcHBpbmctcGFydGljbGUiOiIifSx7ImZhbWlseSI6IkRpZ2lnb3ciLCJnaXZlbiI6IlJlaW5hbGRvIiwicGFyc2UtbmFtZXMiOmZhbHNlLCJkcm9wcGluZy1wYXJ0aWNsZSI6IiIsIm5vbi1kcm9wcGluZy1wYXJ0aWNsZSI6IiJ9LHsiZmFtaWx5IjoixZ5lbGVjaSIsImdpdmVuIjoiTXVoYXJyZW0iLCJwYXJzZS1uYW1lcyI6ZmFsc2UsImRyb3BwaW5nLXBhcnRpY2xlIjoiIiwibm9uLWRyb3BwaW5nLXBhcnRpY2xlIjoiIn0seyJmYW1pbHkiOiJNdW5nYWxwYXJhIiwiZ2l2ZW4iOiJEaXNoYSIsInBhcnNlLW5hbWVzIjpmYWxzZSwiZHJvcHBpbmctcGFydGljbGUiOiIiLCJub24tZHJvcHBpbmctcGFydGljbGUiOiIifSx7ImZhbWlseSI6IkhlaW5lIiwiZ2l2ZW4iOiJNYXJrdXMiLCJwYXJzZS1uYW1lcyI6ZmFsc2UsImRyb3BwaW5nLXBhcnRpY2xlIjoiIiwibm9uLWRyb3BwaW5nLXBhcnRpY2xlIjoiIn0seyJmYW1pbHkiOiJTY2h1cmFuIiwiZ2l2ZW4iOiJGZW5qYSBBLiIsInBhcnNlLW5hbWVzIjpmYWxzZSwiZHJvcHBpbmctcGFydGljbGUiOiIiLCJub24tZHJvcHBpbmctcGFydGljbGUiOiIifSx7ImZhbWlseSI6IkNvcmJhbiIsImdpdmVuIjoiQ2FybG90dGEiLCJwYXJzZS1uYW1lcyI6ZmFsc2UsImRyb3BwaW5nLXBhcnRpY2xlIjoiIiwibm9uLWRyb3BwaW5nLXBhcnRpY2xlIjoiIn0seyJmYW1pbHkiOiJMb2hzZSIsImdpdmVuIjoiQW5zZ2FyIFcuIiwicGFyc2UtbmFtZXMiOmZhbHNlLCJkcm9wcGluZy1wYXJ0aWNsZSI6IiIsIm5vbi1kcm9wcGluZy1wYXJ0aWNsZSI6IiJ9LHsiZmFtaWx5IjoiU2NocmFtbSIsImdpdmVuIjoiQ2hyaXN0b3BoIiwicGFyc2UtbmFtZXMiOmZhbHNlLCJkcm9wcGluZy1wYXJ0aWNsZSI6IiIsIm5vbi1kcm9wcGluZy1wYXJ0aWNsZSI6IiJ9LHsiZmFtaWx5IjoiSGVlcmVuIiwiZ2l2ZW4iOiJKb2VyZyIsInBhcnNlLW5hbWVzIjpmYWxzZSwiZHJvcHBpbmctcGFydGljbGUiOiIiLCJub24tZHJvcHBpbmctcGFydGljbGUiOiIifSx7ImZhbWlseSI6IkhlcmtlbCIsImdpdmVuIjoiSm9oYW5uZXMiLCJwYXJzZS1uYW1lcyI6ZmFsc2UsImRyb3BwaW5nLXBhcnRpY2xlIjoiIiwibm9uLWRyb3BwaW5nLXBhcnRpY2xlIjoiIn1dLCJjb250YWluZXItdGl0bGUiOiJJbW11bm9sb2d5IiwiY29udGFpbmVyLXRpdGxlLXNob3J0IjoiSW1tdW5vbG9neSIsIkRPSSI6IjEwLjExMTEvaW1tLjEzMjk4IiwiSVNTTiI6IjAwMTktMjgwNSIsImlzc3VlZCI6eyJkYXRlLXBhcnRzIjpbWzIwMjEsNCw3XV19LCJwYWdlIjoiNDUyLTQ2MyIsImFic3RyYWN0IjoiPHA+QXV0b2ltbXVuZSBkaXNlYXNlcyBhcmUgY2F1c2VkIGJ5IGFkYXB0aXZlIGltbXVuZSByZXNwb25zZXMgdG8gc2VsZuKAkGFudGlnZW5zLiBUaGUgZGV2ZWxvcG1lbnQgb2YgYW50aWdlbuKAkHNwZWNpZmljIHRoZXJhcGllcyB0aGF0IHN1cHByZXNzIGRpc2Vhc2XigJByZWxhdGVkLCBidXQgbm90IHVucmVsYXRlZCBpbW11bmUgcmVzcG9uc2VzIGluIGdlbmVyYWwsIGlzIGFuIGltcG9ydGFudCBnb2FsIG9mIGJpb21lZGljYWwgcmVzZWFyY2guIFdlIGhhdmUgcHJldmlvdXNseSBzaG93biB0aGF0IGRlbGl2ZXJ5IG9mIG15ZWxpbiBwZXB0aWRlcyB0byBsaXZlciBzaW51c29pZGFsIGVuZG90aGVsaWFsIGNlbGxzIChMU0VDcykgdXNpbmcgTFNFQ+KAkHRhcmdldGluZyBuYW5vcGFydGljbGVzIHByb3ZpZGVzIGVmZmVjdGl2ZSBwcm90ZWN0aW9uIGZyb20gQ0Q0IFTigJBjZWxs4oCQZHJpdmVuIGF1dG9pbW11bmUgZW5jZXBoYWxvbXllbGl0aXMuIEhlcmUsIHdlIGludmVzdGlnYXRlZCB3aGV0aGVyIHRoaXMgbWV0aG9kb2xvZ3kgbWlnaHQgYWxzbyBzZXJ2ZSBhbnRpZ2Vu4oCQc3BlY2lmaWMgdHJlYXRtZW50IG9mIGEgQ0Q4IFTigJBjZWxs4oCQZHJpdmVuIGF1dG9pbW11bmUgZGlzZWFzZS4gQXMgYSBtb2RlbCBmb3IgQ0Q4IFTigJBjZWxs4oCQbWVkaWF0ZWQgYXV0b2ltbXVuaXR5LCB3ZSB1c2VkIE9U4oCQMSBU4oCQY2VsbOKAkGRyaXZlbiBjaG9sYW5naXRpcyBpbiBLMTTigJBPVkFwIG1pY2UgZXhwcmVzc2luZyB0aGUgY29nbmF0ZSBNSEMgSeKAkHJlc3RyaWN0ZWQgU0lJTkZFS0wgcGVwdGlkZSBpbiBjaG9sYW5naW9jeXRlcy4gVG8gc3R1ZHkgd2hldGhlciBwZXB0aWRlIGRlbGl2ZXJ5IHRvIExTRUNzIGNvdWxkIG1vZHVsYXRlIGNob2xhbmdpdGlzLCBTSUlORkVLTCBwZXB0aWRl4oCQY29uanVnYXRlZCBuYW5vcGFydGljbGVzIHdlcmUgYWRtaW5pc3RlcmVkIGludHJhdmVub3VzbHkgb25lIGRheSBiZWZvcmUgdHJhbnNmZXIgb2YgT1TigJAxIFQgY2VsbHM7IGZpdmUgZGF5cyBhZnRlciBjZWxsIHRyYW5zZmVyLCBsaXZlciBwYXRob2xvZ3kgYW5kIGhlcGF0aWMgaW5maWx0cmF0ZXMgd2VyZSBhbmFseXNlZC4gU0lJTkZFS0wgcGVwdGlkZeKAkGNvbmp1Z2F0ZWQgbmFub3BhcnRpY2xlcyB3ZXJlIHJhcGlkbHkgdGFrZW4gdXAgYnkgTFNFQ3MgaW4gdml2bywgd2hpY2ggZWZmZWN0aXZlbHkgY3Jvc3PigJBwcmVzZW50ZWQgdGhlIGRlbGl2ZXJlZCBwZXB0aWRlIG9uIE1IQyBJIG1vbGVjdWxlcy4gSW50cmlndWluZ2x5LCBLMTTigJBPVkFwIG1pY2UgcmVjZWl2aW5nIFNJSU5GRUtM4oCQbG9hZGVkIG5hbm9wYXJ0aWNsZXMgbWFuaWZlc3RlZCBzaWduaWZpY2FudGx5IHJlZHVjZWQgbGl2ZXIgZGFtYWdlIGNvbXBhcmVkIHdpdGggdmVoaWNsZeKAkHRyZWF0ZWQgSzE04oCQT1ZBcCBtaWNlLiBNZWNoYW5pc3RpY2FsbHksIHRyZWF0bWVudCB3aXRoIExTRUPigJB0YXJnZXRpbmcgU0lJTkZFS0zigJBsb2FkZWQgbmFub3BhcnRpY2xlcyBzaWduaWZpY2FudGx5IHJlZHVjZWQgdGhlIG51bWJlciBvZiBsaXZlcuKAkGluZmlsdHJhdGluZyBPVOKAkDEgVCBjZWxscywgd2hpY2ggdXDigJByZWd1bGF0ZWQgZXhwcmVzc2lvbiBvZiB0aGUgY2/igJBpbmhpYml0b3J5IHJlY2VwdG9yIFBE4oCQMSBhbmQgZG93buKAkHJlZ3VsYXRlZCBjeXRvdG94aWMgZWZmZWN0b3IgZnVuY3Rpb24gYW5kIGluZmxhbW1hdG9yeSBjeXRva2luZSBwcm9kdWN0aW9uLiBUaGVzZSBmaW5kaW5ncyBzaG93IHRoYXQgdG9sZXJvZ2VuaWMgTFNFQ3MgY2FuIGVmZmVjdGl2ZWx5IGludGVybmFsaXplIGNpcmN1bGF0aW5nIG5hbm9wYXJ0aWNsZXMgYW5kIGNyb3Nz4oCQcHJlc2VudCBuYW5vcGFydGljbGXigJBib3VuZCBwZXB0aWRlcyBvbiBNSEMgSSBtb2xlY3VsZXMuIFRoZXJlZm9yZSwgbmFub3BhcnRpY2xl4oCQbWVkaWF0ZWQgYXV0b2FudGlnZW4gcGVwdGlkZSBkZWxpdmVyeSB0byBMU0VDcyBtaWdodCBzZXJ2ZSB0aGUgYW50aWdlbuKAkHNwZWNpZmljIHRyZWF0bWVudCBvZiBDRDggVOKAkGNlbGzigJBkcml2ZW4gYXV0b2ltbXVuZSBkaXNlYXNlLjwvcD4iLCJpc3N1ZSI6IjQiLCJ2b2x1bWUiOiIxNjIifSwiaXNUZW1wb3JhcnkiOmZhbHNlfV19"/>
          <w:id w:val="1534467298"/>
          <w:placeholder>
            <w:docPart w:val="7814475A366A41CF821C4CE861DF340B"/>
          </w:placeholder>
        </w:sdtPr>
        <w:sdtEndPr/>
        <w:sdtContent>
          <w:r w:rsidRPr="000B7B1D">
            <w:rPr>
              <w:rFonts w:ascii="Times New Roman" w:hAnsi="Times New Roman" w:cs="Times New Roman"/>
              <w:color w:val="000000"/>
              <w:sz w:val="24"/>
              <w:szCs w:val="24"/>
              <w:vertAlign w:val="superscript"/>
            </w:rPr>
            <w:t>1</w:t>
          </w:r>
        </w:sdtContent>
      </w:sdt>
      <w:r w:rsidRPr="000B7B1D">
        <w:rPr>
          <w:rFonts w:ascii="Times New Roman" w:hAnsi="Times New Roman" w:cs="Times New Roman"/>
          <w:sz w:val="24"/>
          <w:szCs w:val="24"/>
        </w:rPr>
        <w:t xml:space="preserve">. </w:t>
      </w:r>
    </w:p>
    <w:p w14:paraId="705151E0" w14:textId="4D0378D6" w:rsidR="000B7B1D" w:rsidRPr="000B7B1D" w:rsidRDefault="000B7B1D" w:rsidP="00B81EAC">
      <w:pPr>
        <w:snapToGrid w:val="0"/>
        <w:spacing w:after="0" w:line="480" w:lineRule="auto"/>
        <w:jc w:val="both"/>
        <w:rPr>
          <w:rFonts w:ascii="Times New Roman" w:eastAsia="Times New Roman" w:hAnsi="Times New Roman" w:cs="Times New Roman"/>
          <w:sz w:val="24"/>
          <w:szCs w:val="24"/>
        </w:rPr>
      </w:pPr>
      <w:r w:rsidRPr="000B7B1D">
        <w:rPr>
          <w:rFonts w:ascii="Times New Roman" w:eastAsia="Times New Roman" w:hAnsi="Times New Roman" w:cs="Times New Roman"/>
          <w:sz w:val="24"/>
          <w:szCs w:val="24"/>
        </w:rPr>
        <w:t>For coupling to TPs, four Dsg3-derived peptides were selected based on published data describing those as strong binders to HLA DRB1*0402 and PV-relevant CD4</w:t>
      </w:r>
      <w:r w:rsidRPr="000B7B1D">
        <w:rPr>
          <w:rFonts w:ascii="Times New Roman" w:eastAsia="Times New Roman" w:hAnsi="Times New Roman" w:cs="Times New Roman"/>
          <w:sz w:val="24"/>
          <w:szCs w:val="24"/>
          <w:vertAlign w:val="superscript"/>
        </w:rPr>
        <w:t>+</w:t>
      </w:r>
      <w:r w:rsidRPr="000B7B1D">
        <w:rPr>
          <w:rFonts w:ascii="Times New Roman" w:eastAsia="Times New Roman" w:hAnsi="Times New Roman" w:cs="Times New Roman"/>
          <w:sz w:val="24"/>
          <w:szCs w:val="24"/>
        </w:rPr>
        <w:t xml:space="preserve"> T cell epitopes. Two peptides, Dsg3</w:t>
      </w:r>
      <w:r w:rsidRPr="000B7B1D">
        <w:rPr>
          <w:rFonts w:ascii="Times New Roman" w:eastAsia="Times New Roman" w:hAnsi="Times New Roman" w:cs="Times New Roman"/>
          <w:sz w:val="24"/>
          <w:szCs w:val="24"/>
          <w:vertAlign w:val="subscript"/>
        </w:rPr>
        <w:t>190-204</w:t>
      </w:r>
      <w:r w:rsidRPr="000B7B1D">
        <w:rPr>
          <w:rFonts w:ascii="Times New Roman" w:eastAsia="Times New Roman" w:hAnsi="Times New Roman" w:cs="Times New Roman"/>
          <w:sz w:val="24"/>
          <w:szCs w:val="24"/>
        </w:rPr>
        <w:t xml:space="preserve"> and Dsg3</w:t>
      </w:r>
      <w:r w:rsidRPr="000B7B1D">
        <w:rPr>
          <w:rFonts w:ascii="Times New Roman" w:eastAsia="Times New Roman" w:hAnsi="Times New Roman" w:cs="Times New Roman"/>
          <w:sz w:val="24"/>
          <w:szCs w:val="24"/>
          <w:vertAlign w:val="subscript"/>
        </w:rPr>
        <w:t>206-220</w:t>
      </w:r>
      <w:r w:rsidRPr="000B7B1D">
        <w:rPr>
          <w:rFonts w:ascii="Times New Roman" w:eastAsia="Times New Roman" w:hAnsi="Times New Roman" w:cs="Times New Roman"/>
          <w:sz w:val="24"/>
          <w:szCs w:val="24"/>
        </w:rPr>
        <w:t xml:space="preserve"> were coupled as synthetic native sequences as described by </w:t>
      </w:r>
      <w:sdt>
        <w:sdtPr>
          <w:rPr>
            <w:rFonts w:ascii="Times New Roman" w:eastAsia="Times New Roman" w:hAnsi="Times New Roman" w:cs="Times New Roman"/>
            <w:color w:val="000000"/>
            <w:sz w:val="24"/>
            <w:szCs w:val="24"/>
            <w:vertAlign w:val="superscript"/>
          </w:rPr>
          <w:tag w:val="MENDELEY_CITATION_v3_eyJjaXRhdGlvbklEIjoiTUVOREVMRVlfQ0lUQVRJT05fOTEyYjcyNDUtNzJmYy00NzRmLWFjNDUtMWNhZTY0Njg4YzVlIiwicHJvcGVydGllcyI6eyJub3RlSW5kZXgiOjB9LCJpc0VkaXRlZCI6ZmFsc2UsIm1hbnVhbE92ZXJyaWRlIjp7ImlzTWFudWFsbHlPdmVycmlkZGVuIjpmYWxzZSwiY2l0ZXByb2NUZXh0IjoiPHN1cD4yPC9zdXA+IiwibWFudWFsT3ZlcnJpZGVUZXh0IjoiIn0sImNpdGF0aW9uSXRlbXMiOlt7ImlkIjoiYTE5NDI0MGMtZDliZC0zYWFmLTk1ZjEtN2UwNjAzOWZlYzc4IiwiaXRlbURhdGEiOnsidHlwZSI6ImFydGljbGUtam91cm5hbCIsImlkIjoiYTE5NDI0MGMtZDliZC0zYWFmLTk1ZjEtN2UwNjAzOWZlYzc4IiwidGl0bGUiOiJTdHJ1Y3R1cmFsIGJhc2lzIGZvciBtYWpvciBoaXN0b2NvbXBhdGliaWxpdHkgY29tcGxleCAoTUhDKS1saW5rZWQgc3VzY2VwdGliaWxpdHkgdG8gYXV0b2ltbXVuaXR5OiBjaGFyZ2VkIHJlc2lkdWVzIG9mIGEgc2luZ2xlIE1IQyBiaW5kaW5nIHBvY2tldCBjb25mZXIgc2VsZWN0aXZlIHByZXNlbnRhdGlvbiBvZiBzZWxmLXBlcHRpZGVzIGluIHBlbXBoaWd1cyB2dWxnYXJpcy4iLCJhdXRob3IiOlt7ImZhbWlseSI6Ild1Y2hlcnBmZW5uaWciLCJnaXZlbiI6IksgVyIsInBhcnNlLW5hbWVzIjpmYWxzZSwiZHJvcHBpbmctcGFydGljbGUiOiIiLCJub24tZHJvcHBpbmctcGFydGljbGUiOiIifSx7ImZhbWlseSI6Ill1IiwiZ2l2ZW4iOiJCIiwicGFyc2UtbmFtZXMiOmZhbHNlLCJkcm9wcGluZy1wYXJ0aWNsZSI6IiIsIm5vbi1kcm9wcGluZy1wYXJ0aWNsZSI6IiJ9LHsiZmFtaWx5IjoiQmhvbCIsImdpdmVuIjoiSyIsInBhcnNlLW5hbWVzIjpmYWxzZSwiZHJvcHBpbmctcGFydGljbGUiOiIiLCJub24tZHJvcHBpbmctcGFydGljbGUiOiIifSx7ImZhbWlseSI6Ik1vbm9zIiwiZ2l2ZW4iOiJEIFMiLCJwYXJzZS1uYW1lcyI6ZmFsc2UsImRyb3BwaW5nLXBhcnRpY2xlIjoiIiwibm9uLWRyb3BwaW5nLXBhcnRpY2xlIjoiIn0seyJmYW1pbHkiOiJBcmd5cmlzIiwiZ2l2ZW4iOiJFIiwicGFyc2UtbmFtZXMiOmZhbHNlLCJkcm9wcGluZy1wYXJ0aWNsZSI6IiIsIm5vbi1kcm9wcGluZy1wYXJ0aWNsZSI6IiJ9LHsiZmFtaWx5IjoiS2FyciIsImdpdmVuIjoiUiBXIiwicGFyc2UtbmFtZXMiOmZhbHNlLCJkcm9wcGluZy1wYXJ0aWNsZSI6IiIsIm5vbi1kcm9wcGluZy1wYXJ0aWNsZSI6IiJ9LHsiZmFtaWx5IjoiQWhtZWQiLCJnaXZlbiI6IkEgUiIsInBhcnNlLW5hbWVzIjpmYWxzZSwiZHJvcHBpbmctcGFydGljbGUiOiIiLCJub24tZHJvcHBpbmctcGFydGljbGUiOiIifSx7ImZhbWlseSI6IlN0cm9taW5nZXIiLCJnaXZlbiI6IkogTCIsInBhcnNlLW5hbWVzIjpmYWxzZSwiZHJvcHBpbmctcGFydGljbGUiOiIiLCJub24tZHJvcHBpbmctcGFydGljbGUiOiIifV0sImNvbnRhaW5lci10aXRsZSI6IlByb2NlZWRpbmdzIG9mIHRoZSBOYXRpb25hbCBBY2FkZW15IG9mIFNjaWVuY2VzIG9mIHRoZSBVbml0ZWQgU3RhdGVzIG9mIEFtZXJpY2EiLCJjb250YWluZXItdGl0bGUtc2hvcnQiOiJQcm9jIE5hdGwgQWNhZCBTY2kgVSBTIEEiLCJET0kiOiIxMC4xMDczL3BuYXMuOTIuMjUuMTE5MzUiLCJJU1NOIjoiMDAyNy04NDI0IiwiUE1JRCI6Ijg1MjQ4NzgiLCJpc3N1ZWQiOnsiZGF0ZS1wYXJ0cyI6W1sxOTk1LDEyLDVdXX0sInBhZ2UiOiIxMTkzNS05IiwiYWJzdHJhY3QiOiJIdW1hbiBULWNlbGwtbWVkaWF0ZWQgYXV0b2ltbXVuZSBkaXNlYXNlcyBhcmUgZ2VuZXRpY2FsbHkgbGlua2VkIHRvIHBhcnRpY3VsYXIgYWxsZWxlcyBvZiBNSEMgY2xhc3MgSUkgZ2VuZXMuIFN1c2NlcHRpYmlsaXR5IHRvIHBlbXBoaWd1cyB2dWxnYXJpcyAoUFYpLCBhbiBhdXRvaW1tdW5lIGRpc2Vhc2Ugb2YgdGhlIHNraW4sIGlzIGxpbmtlZCB0byBhIHJhcmUgc3VidHlwZSBvZiBITEEtRFI0IChEUkIxKjA0MDIsIDEgb2YgMjIga25vd24gRFI0IHN1YnR5cGVzKS4gVGhlIFBWLWxpbmtlZCBEUjQgc3VidHlwZSBkaWZmZXJzIGZyb20gYSByaGV1bWF0b2lkIGFydGhyaXRpcy1hc3NvY2lhdGVkIERSNCBzdWJ0eXBlIChEUkIxKjA0MDQpIG9ubHkgYXQgdGhyZWUgcmVzaWR1ZXMgKERSIGJldGEgNjcsIDcwLCBhbmQgNzEpLiBUaGUgZGlzZWFzZSBpcyBjYXVzZWQgYnkgYXV0b2FudGlib2RpZXMgYWdhaW5zdCBkZXNtb2dsZWluIDMgKERHKSwgYW5kIFQgY2VsbHMgYXJlIHRob3VnaHQgdG8gdHJpZ2dlciB0aGUgYXV0b2FudGlib2R5IHByb2R1Y3Rpb24gYWdhaW5zdCB0aGlzIGtlcmF0aW5vY3l0ZSBhZGhlc2lvbiBtb2xlY3VsZS4gQmFzZWQgb24gdGhlIERSQjEqMDQwMiBiaW5kaW5nIG1vdGlmLCBzZXZlbiBjYW5kaWRhdGUgcGVwdGlkZXMgb2YgdGhlIERHIGF1dG9hbnRpZ2VuIHdlcmUgaWRlbnRpZmllZC4gVCBjZWxscyBmcm9tIGZvdXIgUFYgcGF0aWVudHMgd2l0aCBhY3RpdmUgZGlzZWFzZSByZXNwb25kZWQgdG8gb25lIG9mIHRoZXNlIERHIHBlcHRpZGVzIChyZXNpZHVlcyAxOTAtMjA0KTsgdHdvIHBhdGllbnRzIGFsc28gcmVzcG9uZGVkIHRvIERHLSgyMDYtMjIwKS4gVC1jZWxsIGNsb25lcyBzcGVjaWZpYyBmb3IgREctKDE5MC0yMDQpIHNlY3JldGVkIGhpZ2ggbGV2ZWxzIG9mIGludGVybGV1a2lucyA0IGFuZCAxMCwgaW5kaWNhdGluZyB0aGF0IHRoZXkgbWF5IGJlIGltcG9ydGFudCBpbiB0cmlnZ2VyaW5nIHRoZSBwcm9kdWN0aW9uIG9mIERHLXNwZWNpZmljIGF1dG9hbnRpYm9kaWVzLiBUaGUgREctKDE5MC0yMDQpIHBlcHRpZGUgd2FzIHByZXNlbnRlZCBieSB0aGUgZGlzZWFzZS1saW5rZWQgRFJCMSowNDAyIG1vbGVjdWxlIGJ1dCBub3QgYnkgb3RoZXIgRFI0IHN1YnR5cGVzLiBTaXRlLWRpcmVjdGVkIG11dGFnZW5lc2lzIG9mIERSQjEqMDQwMiBkZW1vbnN0cmF0ZWQgdGhhdCBzZWxlY3RpdmUgcHJlc2VudGF0aW9uIG9mIERHLSgxOTAtMjA0KSwgd2hpY2ggY2FycmllcyBhIHBvc2l0aXZlIGNoYXJnZSBhdCB0aGUgUDQgcG9zaXRpb24sIHdhcyBkdWUgdG8gdGhlIG5lZ2F0aXZlbHkgY2hhcmdlZCByZXNpZHVlcyBvZiB0aGUgUDQgcG9ja2V0IChEUiBiZXRhIDcwIGFuZCA3MSkuIERSIGJldGEgNzEgaGFzIGEgbmVnYXRpdmUgY2hhcmdlIGluIERSQjEqMDQwMiBidXQgYSBwb3NpdGl2ZSBjaGFyZ2UgaW4gb3RoZXIgRFI0IHN1YnR5cGVzLCBpbmNsdWRpbmcgdGhlIERSNCBzdWJ0eXBlcyBsaW5rZWQgdG8gcmhldW1hdG9pZCBhcnRocml0aXMuIFRoZSBjaGFyZ2Ugb2YgdGhlIFA0IHBvY2tldCBpbiB0aGUgRFI0IHBlcHRpZGUgYmluZGluZyBzaXRlIHRoZXJlZm9yZSBhcHBlYXJzIHRvIGJlIGEgY3JpdGljYWwgZGV0ZXJtaW5hbnQgb2YgTUhDLWxpbmtlZCBzdXNjZXB0aWJpbGl0eSB0byBQViBhbmQgcmhldW1hdG9pZCBhcnRocml0aXMuIiwiaXNzdWUiOiIyNSIsInZvbHVtZSI6IjkyIn0sImlzVGVtcG9yYXJ5IjpmYWxzZX1dfQ=="/>
          <w:id w:val="1762266398"/>
          <w:placeholder>
            <w:docPart w:val="7814475A366A41CF821C4CE861DF340B"/>
          </w:placeholder>
        </w:sdtPr>
        <w:sdtEndPr/>
        <w:sdtContent>
          <w:r w:rsidRPr="000B7B1D">
            <w:rPr>
              <w:rFonts w:ascii="Times New Roman" w:eastAsia="Times New Roman" w:hAnsi="Times New Roman" w:cs="Times New Roman"/>
              <w:color w:val="000000"/>
              <w:sz w:val="24"/>
              <w:szCs w:val="24"/>
              <w:vertAlign w:val="superscript"/>
            </w:rPr>
            <w:t>2</w:t>
          </w:r>
        </w:sdtContent>
      </w:sdt>
      <w:r w:rsidRPr="000B7B1D">
        <w:rPr>
          <w:rFonts w:ascii="Times New Roman" w:eastAsia="Times New Roman" w:hAnsi="Times New Roman" w:cs="Times New Roman"/>
          <w:sz w:val="24"/>
          <w:szCs w:val="24"/>
        </w:rPr>
        <w:t>. As to the peptide Dsg3</w:t>
      </w:r>
      <w:r w:rsidRPr="000B7B1D">
        <w:rPr>
          <w:rFonts w:ascii="Times New Roman" w:eastAsia="Times New Roman" w:hAnsi="Times New Roman" w:cs="Times New Roman"/>
          <w:sz w:val="24"/>
          <w:szCs w:val="24"/>
          <w:vertAlign w:val="subscript"/>
        </w:rPr>
        <w:t>190-204</w:t>
      </w:r>
      <w:r w:rsidRPr="000B7B1D">
        <w:rPr>
          <w:rFonts w:ascii="Times New Roman" w:eastAsia="Times New Roman" w:hAnsi="Times New Roman" w:cs="Times New Roman"/>
          <w:sz w:val="24"/>
          <w:szCs w:val="24"/>
        </w:rPr>
        <w:t xml:space="preserve">, </w:t>
      </w:r>
      <w:r w:rsidRPr="000B7B1D">
        <w:rPr>
          <w:rFonts w:ascii="Times New Roman" w:hAnsi="Times New Roman" w:cs="Times New Roman"/>
          <w:sz w:val="24"/>
          <w:szCs w:val="24"/>
        </w:rPr>
        <w:t xml:space="preserve">the frame of the originally described amino acid sequence </w:t>
      </w:r>
      <w:sdt>
        <w:sdtPr>
          <w:rPr>
            <w:rFonts w:ascii="Times New Roman" w:hAnsi="Times New Roman" w:cs="Times New Roman"/>
            <w:color w:val="000000"/>
            <w:sz w:val="24"/>
            <w:szCs w:val="24"/>
            <w:vertAlign w:val="superscript"/>
          </w:rPr>
          <w:tag w:val="MENDELEY_CITATION_v3_eyJjaXRhdGlvbklEIjoiTUVOREVMRVlfQ0lUQVRJT05fYTBkMTU0YzEtNWM5MC00Yjc0LTljOTgtOGQ5ZWM3MGQ1MmQ5IiwicHJvcGVydGllcyI6eyJub3RlSW5kZXgiOjB9LCJpc0VkaXRlZCI6ZmFsc2UsIm1hbnVhbE92ZXJyaWRlIjp7ImlzTWFudWFsbHlPdmVycmlkZGVuIjpmYWxzZSwiY2l0ZXByb2NUZXh0IjoiPHN1cD4yPC9zdXA+IiwibWFudWFsT3ZlcnJpZGVUZXh0IjoiIn0sImNpdGF0aW9uSXRlbXMiOlt7ImlkIjoiYTE5NDI0MGMtZDliZC0zYWFmLTk1ZjEtN2UwNjAzOWZlYzc4IiwiaXRlbURhdGEiOnsidHlwZSI6ImFydGljbGUtam91cm5hbCIsImlkIjoiYTE5NDI0MGMtZDliZC0zYWFmLTk1ZjEtN2UwNjAzOWZlYzc4IiwidGl0bGUiOiJTdHJ1Y3R1cmFsIGJhc2lzIGZvciBtYWpvciBoaXN0b2NvbXBhdGliaWxpdHkgY29tcGxleCAoTUhDKS1saW5rZWQgc3VzY2VwdGliaWxpdHkgdG8gYXV0b2ltbXVuaXR5OiBjaGFyZ2VkIHJlc2lkdWVzIG9mIGEgc2luZ2xlIE1IQyBiaW5kaW5nIHBvY2tldCBjb25mZXIgc2VsZWN0aXZlIHByZXNlbnRhdGlvbiBvZiBzZWxmLXBlcHRpZGVzIGluIHBlbXBoaWd1cyB2dWxnYXJpcy4iLCJhdXRob3IiOlt7ImZhbWlseSI6Ild1Y2hlcnBmZW5uaWciLCJnaXZlbiI6IksgVyIsInBhcnNlLW5hbWVzIjpmYWxzZSwiZHJvcHBpbmctcGFydGljbGUiOiIiLCJub24tZHJvcHBpbmctcGFydGljbGUiOiIifSx7ImZhbWlseSI6Ill1IiwiZ2l2ZW4iOiJCIiwicGFyc2UtbmFtZXMiOmZhbHNlLCJkcm9wcGluZy1wYXJ0aWNsZSI6IiIsIm5vbi1kcm9wcGluZy1wYXJ0aWNsZSI6IiJ9LHsiZmFtaWx5IjoiQmhvbCIsImdpdmVuIjoiSyIsInBhcnNlLW5hbWVzIjpmYWxzZSwiZHJvcHBpbmctcGFydGljbGUiOiIiLCJub24tZHJvcHBpbmctcGFydGljbGUiOiIifSx7ImZhbWlseSI6Ik1vbm9zIiwiZ2l2ZW4iOiJEIFMiLCJwYXJzZS1uYW1lcyI6ZmFsc2UsImRyb3BwaW5nLXBhcnRpY2xlIjoiIiwibm9uLWRyb3BwaW5nLXBhcnRpY2xlIjoiIn0seyJmYW1pbHkiOiJBcmd5cmlzIiwiZ2l2ZW4iOiJFIiwicGFyc2UtbmFtZXMiOmZhbHNlLCJkcm9wcGluZy1wYXJ0aWNsZSI6IiIsIm5vbi1kcm9wcGluZy1wYXJ0aWNsZSI6IiJ9LHsiZmFtaWx5IjoiS2FyciIsImdpdmVuIjoiUiBXIiwicGFyc2UtbmFtZXMiOmZhbHNlLCJkcm9wcGluZy1wYXJ0aWNsZSI6IiIsIm5vbi1kcm9wcGluZy1wYXJ0aWNsZSI6IiJ9LHsiZmFtaWx5IjoiQWhtZWQiLCJnaXZlbiI6IkEgUiIsInBhcnNlLW5hbWVzIjpmYWxzZSwiZHJvcHBpbmctcGFydGljbGUiOiIiLCJub24tZHJvcHBpbmctcGFydGljbGUiOiIifSx7ImZhbWlseSI6IlN0cm9taW5nZXIiLCJnaXZlbiI6IkogTCIsInBhcnNlLW5hbWVzIjpmYWxzZSwiZHJvcHBpbmctcGFydGljbGUiOiIiLCJub24tZHJvcHBpbmctcGFydGljbGUiOiIifV0sImNvbnRhaW5lci10aXRsZSI6IlByb2NlZWRpbmdzIG9mIHRoZSBOYXRpb25hbCBBY2FkZW15IG9mIFNjaWVuY2VzIG9mIHRoZSBVbml0ZWQgU3RhdGVzIG9mIEFtZXJpY2EiLCJjb250YWluZXItdGl0bGUtc2hvcnQiOiJQcm9jIE5hdGwgQWNhZCBTY2kgVSBTIEEiLCJET0kiOiIxMC4xMDczL3BuYXMuOTIuMjUuMTE5MzUiLCJJU1NOIjoiMDAyNy04NDI0IiwiUE1JRCI6Ijg1MjQ4NzgiLCJpc3N1ZWQiOnsiZGF0ZS1wYXJ0cyI6W1sxOTk1LDEyLDVdXX0sInBhZ2UiOiIxMTkzNS05IiwiYWJzdHJhY3QiOiJIdW1hbiBULWNlbGwtbWVkaWF0ZWQgYXV0b2ltbXVuZSBkaXNlYXNlcyBhcmUgZ2VuZXRpY2FsbHkgbGlua2VkIHRvIHBhcnRpY3VsYXIgYWxsZWxlcyBvZiBNSEMgY2xhc3MgSUkgZ2VuZXMuIFN1c2NlcHRpYmlsaXR5IHRvIHBlbXBoaWd1cyB2dWxnYXJpcyAoUFYpLCBhbiBhdXRvaW1tdW5lIGRpc2Vhc2Ugb2YgdGhlIHNraW4sIGlzIGxpbmtlZCB0byBhIHJhcmUgc3VidHlwZSBvZiBITEEtRFI0IChEUkIxKjA0MDIsIDEgb2YgMjIga25vd24gRFI0IHN1YnR5cGVzKS4gVGhlIFBWLWxpbmtlZCBEUjQgc3VidHlwZSBkaWZmZXJzIGZyb20gYSByaGV1bWF0b2lkIGFydGhyaXRpcy1hc3NvY2lhdGVkIERSNCBzdWJ0eXBlIChEUkIxKjA0MDQpIG9ubHkgYXQgdGhyZWUgcmVzaWR1ZXMgKERSIGJldGEgNjcsIDcwLCBhbmQgNzEpLiBUaGUgZGlzZWFzZSBpcyBjYXVzZWQgYnkgYXV0b2FudGlib2RpZXMgYWdhaW5zdCBkZXNtb2dsZWluIDMgKERHKSwgYW5kIFQgY2VsbHMgYXJlIHRob3VnaHQgdG8gdHJpZ2dlciB0aGUgYXV0b2FudGlib2R5IHByb2R1Y3Rpb24gYWdhaW5zdCB0aGlzIGtlcmF0aW5vY3l0ZSBhZGhlc2lvbiBtb2xlY3VsZS4gQmFzZWQgb24gdGhlIERSQjEqMDQwMiBiaW5kaW5nIG1vdGlmLCBzZXZlbiBjYW5kaWRhdGUgcGVwdGlkZXMgb2YgdGhlIERHIGF1dG9hbnRpZ2VuIHdlcmUgaWRlbnRpZmllZC4gVCBjZWxscyBmcm9tIGZvdXIgUFYgcGF0aWVudHMgd2l0aCBhY3RpdmUgZGlzZWFzZSByZXNwb25kZWQgdG8gb25lIG9mIHRoZXNlIERHIHBlcHRpZGVzIChyZXNpZHVlcyAxOTAtMjA0KTsgdHdvIHBhdGllbnRzIGFsc28gcmVzcG9uZGVkIHRvIERHLSgyMDYtMjIwKS4gVC1jZWxsIGNsb25lcyBzcGVjaWZpYyBmb3IgREctKDE5MC0yMDQpIHNlY3JldGVkIGhpZ2ggbGV2ZWxzIG9mIGludGVybGV1a2lucyA0IGFuZCAxMCwgaW5kaWNhdGluZyB0aGF0IHRoZXkgbWF5IGJlIGltcG9ydGFudCBpbiB0cmlnZ2VyaW5nIHRoZSBwcm9kdWN0aW9uIG9mIERHLXNwZWNpZmljIGF1dG9hbnRpYm9kaWVzLiBUaGUgREctKDE5MC0yMDQpIHBlcHRpZGUgd2FzIHByZXNlbnRlZCBieSB0aGUgZGlzZWFzZS1saW5rZWQgRFJCMSowNDAyIG1vbGVjdWxlIGJ1dCBub3QgYnkgb3RoZXIgRFI0IHN1YnR5cGVzLiBTaXRlLWRpcmVjdGVkIG11dGFnZW5lc2lzIG9mIERSQjEqMDQwMiBkZW1vbnN0cmF0ZWQgdGhhdCBzZWxlY3RpdmUgcHJlc2VudGF0aW9uIG9mIERHLSgxOTAtMjA0KSwgd2hpY2ggY2FycmllcyBhIHBvc2l0aXZlIGNoYXJnZSBhdCB0aGUgUDQgcG9zaXRpb24sIHdhcyBkdWUgdG8gdGhlIG5lZ2F0aXZlbHkgY2hhcmdlZCByZXNpZHVlcyBvZiB0aGUgUDQgcG9ja2V0IChEUiBiZXRhIDcwIGFuZCA3MSkuIERSIGJldGEgNzEgaGFzIGEgbmVnYXRpdmUgY2hhcmdlIGluIERSQjEqMDQwMiBidXQgYSBwb3NpdGl2ZSBjaGFyZ2UgaW4gb3RoZXIgRFI0IHN1YnR5cGVzLCBpbmNsdWRpbmcgdGhlIERSNCBzdWJ0eXBlcyBsaW5rZWQgdG8gcmhldW1hdG9pZCBhcnRocml0aXMuIFRoZSBjaGFyZ2Ugb2YgdGhlIFA0IHBvY2tldCBpbiB0aGUgRFI0IHBlcHRpZGUgYmluZGluZyBzaXRlIHRoZXJlZm9yZSBhcHBlYXJzIHRvIGJlIGEgY3JpdGljYWwgZGV0ZXJtaW5hbnQgb2YgTUhDLWxpbmtlZCBzdXNjZXB0aWJpbGl0eSB0byBQViBhbmQgcmhldW1hdG9pZCBhcnRocml0aXMuIiwiaXNzdWUiOiIyNSIsInZvbHVtZSI6IjkyIn0sImlzVGVtcG9yYXJ5IjpmYWxzZX1dfQ=="/>
          <w:id w:val="-2028633613"/>
          <w:placeholder>
            <w:docPart w:val="7814475A366A41CF821C4CE861DF340B"/>
          </w:placeholder>
        </w:sdtPr>
        <w:sdtEndPr/>
        <w:sdtContent>
          <w:r w:rsidRPr="000B7B1D">
            <w:rPr>
              <w:rFonts w:ascii="Times New Roman" w:hAnsi="Times New Roman" w:cs="Times New Roman"/>
              <w:color w:val="000000"/>
              <w:sz w:val="24"/>
              <w:szCs w:val="24"/>
              <w:vertAlign w:val="superscript"/>
            </w:rPr>
            <w:t>2</w:t>
          </w:r>
        </w:sdtContent>
      </w:sdt>
      <w:r w:rsidRPr="000B7B1D">
        <w:rPr>
          <w:rFonts w:ascii="Times New Roman" w:eastAsia="Times New Roman" w:hAnsi="Times New Roman" w:cs="Times New Roman"/>
          <w:sz w:val="24"/>
          <w:szCs w:val="24"/>
        </w:rPr>
        <w:t xml:space="preserve"> </w:t>
      </w:r>
      <w:r w:rsidRPr="000B7B1D">
        <w:rPr>
          <w:rFonts w:ascii="Times New Roman" w:hAnsi="Times New Roman" w:cs="Times New Roman"/>
          <w:sz w:val="24"/>
          <w:szCs w:val="24"/>
        </w:rPr>
        <w:t xml:space="preserve">was slightly shifted towards the C-terminus by three native amino acids to achieve favorable water solubility, as well as appropriate N-terminal coupling conditions, resulting in the sequence LNSKIAFKIVSQEPA. For the same reason, two amino acids have been deleted from the N-terminus of the sequence published by </w:t>
      </w:r>
      <w:sdt>
        <w:sdtPr>
          <w:rPr>
            <w:rFonts w:ascii="Times New Roman" w:hAnsi="Times New Roman" w:cs="Times New Roman"/>
            <w:color w:val="000000"/>
            <w:sz w:val="24"/>
            <w:szCs w:val="24"/>
            <w:vertAlign w:val="superscript"/>
          </w:rPr>
          <w:tag w:val="MENDELEY_CITATION_v3_eyJjaXRhdGlvbklEIjoiTUVOREVMRVlfQ0lUQVRJT05fZjJiOTA2NzAtOGY5Ny00ODgyLWFmY2YtNTc0NTMxNjJkOGY3IiwicHJvcGVydGllcyI6eyJub3RlSW5kZXgiOjB9LCJpc0VkaXRlZCI6ZmFsc2UsIm1hbnVhbE92ZXJyaWRlIjp7ImlzTWFudWFsbHlPdmVycmlkZGVuIjpmYWxzZSwiY2l0ZXByb2NUZXh0IjoiPHN1cD4zPC9zdXA+IiwibWFudWFsT3ZlcnJpZGVUZXh0IjoiIn0sImNpdGF0aW9uSXRlbXMiOlt7ImlkIjoiZDFiNDk5NmUtZTU3YS0zNTRlLTgzZWQtOWY2ZWVlMTgzZmY0IiwiaXRlbURhdGEiOnsidHlwZSI6ImFydGljbGUtam91cm5hbCIsImlkIjoiZDFiNDk5NmUtZTU3YS0zNTRlLTgzZWQtOWY2ZWVlMTgzZmY0IiwidGl0bGUiOiJUIENlbGwgUmVjb2duaXRpb24gb2YgRGVzbW9nbGVpbiAzIFBlcHRpZGVzIGluIFBhdGllbnRzIHdpdGggUGVtcGhpZ3VzIFZ1bGdhcmlzIGFuZCBIZWFsdGh5IEluZGl2aWR1YWxzIiwiYXV0aG9yIjpbeyJmYW1pbHkiOiJWZWxkbWFuIiwiZ2l2ZW4iOiJDaHJpc3RpYW4gTS4iLCJwYXJzZS1uYW1lcyI6ZmFsc2UsImRyb3BwaW5nLXBhcnRpY2xlIjoiIiwibm9uLWRyb3BwaW5nLXBhcnRpY2xlIjoiIn0seyJmYW1pbHkiOiJHZWJoYXJkIiwiZ2l2ZW4iOiJLZXJzdGluIEwuIiwicGFyc2UtbmFtZXMiOmZhbHNlLCJkcm9wcGluZy1wYXJ0aWNsZSI6IiIsIm5vbi1kcm9wcGluZy1wYXJ0aWNsZSI6IiJ9LHsiZmFtaWx5IjoiVXRlciIsImdpdmVuIjoiV29sZmdhbmciLCJwYXJzZS1uYW1lcyI6ZmFsc2UsImRyb3BwaW5nLXBhcnRpY2xlIjoiIiwibm9uLWRyb3BwaW5nLXBhcnRpY2xlIjoiIn0seyJmYW1pbHkiOiJXYXNzbXV0aCIsImdpdmVuIjoiUmFsZiIsInBhcnNlLW5hbWVzIjpmYWxzZSwiZHJvcHBpbmctcGFydGljbGUiOiIiLCJub24tZHJvcHBpbmctcGFydGljbGUiOiIifSx7ImZhbWlseSI6Ikdyb8yIdHppbmdlciIsImdpdmVuIjoiSm9hY2hpbSIsInBhcnNlLW5hbWVzIjpmYWxzZSwiZHJvcHBpbmctcGFydGljbGUiOiIiLCJub24tZHJvcHBpbmctcGFydGljbGUiOiIifSx7ImZhbWlseSI6IlNjaHVsdHoiLCJnaXZlbiI6IkVyd2luIiwicGFyc2UtbmFtZXMiOmZhbHNlLCJkcm9wcGluZy1wYXJ0aWNsZSI6IiIsIm5vbi1kcm9wcGluZy1wYXJ0aWNsZSI6IiJ9LHsiZmFtaWx5IjoiSGVydGwiLCJnaXZlbiI6Ik1pY2hhZWwiLCJwYXJzZS1uYW1lcyI6ZmFsc2UsImRyb3BwaW5nLXBhcnRpY2xlIjoiIiwibm9uLWRyb3BwaW5nLXBhcnRpY2xlIjoiIn1dLCJjb250YWluZXItdGl0bGUiOiJUaGUgSm91cm5hbCBvZiBJbW11bm9sb2d5IiwiRE9JIjoiMTAuNDA0OS9qaW1tdW5vbC4xNzIuNi4zODgzIiwiSVNTTiI6IjAwMjItMTc2NyIsImlzc3VlZCI6eyJkYXRlLXBhcnRzIjpbWzIwMDQsMywxNV1dfSwicGFnZSI6IjM4ODMtMzg5MiIsImFic3RyYWN0IjoiPHA+UGVtcGhpZ3VzIHZ1bGdhcmlzIGlzIGEgc2V2ZXJlIGF1dG9pbW11bmUgZGlzZWFzZSBjYXVzZWQgYnkgYXV0b2FudGlib2RpZXMgYWdhaW5zdCB0aGUgY3V0YW5lb3VzIGFkaGVzaW9uIG1vbGVjdWxlLCBkZXNtb2dsZWluIDMgKERzZzMpLiBUaGUgYWltIG9mIHRoaXMgc3R1ZHkgd2FzIHRvIGNoYXJhY3Rlcml6ZSB0aGUgc3BlY2lmaWNpdHkgb2YgYXV0b3JlYWN0aXZlIFRoIGNlbGxzLCB3aGljaCBwcmVzdW1hYmx5IHJlZ3VsYXRlIERzZzMtc3BlY2lmaWMgYXV0b2FudGlib2R5IHByb2R1Y3Rpb24uIE5pbmV0eS1zZXZlbiBUaDEgYW5kIFRoMiBjbG9uZXMgaXNvbGF0ZWQgZnJvbSAxNiBwZW1waGlndXMgcGF0aWVudHMgYW5kIDEyIEhMQS1tYXRjaGVkIGhlYWx0aHkgZG9ub3JzIHJlY29nbml6ZWQgdGhlIERzZzMgcGVwdGlkZXMsIERHMyg3OC05NCksIERHMyg5Ni0xMTIpLCBERzMoMTg5LTIwNSksIERHMygyMDUtMjIxKSwgYW5kIERHMygyNTAtMjY2KS4gUGVwdGlkZSBERzMoOTYtMTEyKSwgYW5kIHRvIGEgbGVzc2VyIGV4dGVudCBERzMoMjUwLTI2NiksIHdhcyByZWNvZ25pemVkIGJ5IHRoZSBtYWpvcml0eSBvZiBUIGNlbGxzIGZyb20gcGF0aWVudHMgYW5kIGhlYWx0aHkgZG9ub3JzIGluIGFzc29jaWF0aW9uIHdpdGggSExBLURSQjEqMDQwMiBhbmQgRFFCMSowNTAzIHdoaWNoIHdlcmUgcHJldmFsZW50IGluIHRoZSBwZW1waGlndXMgcGF0aWVudHMgYW5kIERzZzMtcmVzcG9uc2l2ZSBoZWFsdGh5IGRvbm9ycy4gQW5hbHl6aW5nIHRoZSBWzrItY2hhaW4gb2YgdGhlIFRDUiBvZiB0aGUgREczKDk2LTExMiktc3BlY2lmaWMgVCBjZWxscyBzaG93ZWQgbm8gcmVzdHJpY3RlZCBUQ1IgdXNhZ2UuIFBlcHRpZGVzIERHMygzNDItMzU4KSBhbmQgREczKDM3Ni0zOTIpIHdlcmUgZXhjbHVzaXZlbHkgcmVjb2duaXplZCBieSBUIGNlbGwgY2xvbmVzIChuID0gMTMpIGZyb20gcGF0aWVudHMgd2hpbGUgREczKDQ4My00OTkpIHdhcyBvbmx5IHJlY29nbml6ZWQgYnkgVCBjZWxsIGNsb25lcyAobiA9IDMpIGZyb20gYSBoZWFsdGh5IGRvbm9yLiBBbGwgRHNnMyBwZXB0aWRlcyBjb250YWluZWQgY29uc2VydmVkIGFtaW5vIGFjaWRzIGF0IHJlbGF0aXZlIHBvc2l0aW9ucyAxLCA0LCBhbmQgNjsgYW1pbm8gYWNpZHMgd2l0aCBhIHBvc2l0aXZlIGNoYXJnZSBhdCBwb3NpdGlvbiA0IHByZXN1bWFibHkgcmVwcmVzZW50IGFuY2hvciBtb3RpZnMgZm9yIERSQjEqMDQwMi4gVGhlc2UgZmluZGluZ3MgZGVtb25zdHJhdGUgdGhhdCBUIGNlbGwgcmVjb2duaXRpb24gb2YgZGlzdGluY3QgRHNnMyBwZXB0aWRlcyBpcyByZXN0cmljdGVkIGJ5IGRpc3RpbmN0IEhMQSBjbGFzcyBJSSBtb2xlY3VsZXMgYW5kIGlzIGluZGVwZW5kZW50IGZyb20gdGhlIGRldmVsb3BtZW50IG9mIHBlbXBoaWd1cyB2dWxnYXJpcy48L3A+IiwiaXNzdWUiOiI2Iiwidm9sdW1lIjoiMTcyIiwiY29udGFpbmVyLXRpdGxlLXNob3J0IjoiIn0sImlzVGVtcG9yYXJ5IjpmYWxzZX1dfQ=="/>
          <w:id w:val="-1460948937"/>
          <w:placeholder>
            <w:docPart w:val="7814475A366A41CF821C4CE861DF340B"/>
          </w:placeholder>
        </w:sdtPr>
        <w:sdtEndPr/>
        <w:sdtContent>
          <w:r w:rsidRPr="000B7B1D">
            <w:rPr>
              <w:rFonts w:ascii="Times New Roman" w:hAnsi="Times New Roman" w:cs="Times New Roman"/>
              <w:color w:val="000000"/>
              <w:sz w:val="24"/>
              <w:szCs w:val="24"/>
              <w:vertAlign w:val="superscript"/>
            </w:rPr>
            <w:t>3</w:t>
          </w:r>
        </w:sdtContent>
      </w:sdt>
      <w:r w:rsidRPr="000B7B1D">
        <w:rPr>
          <w:rFonts w:ascii="Times New Roman" w:hAnsi="Times New Roman" w:cs="Times New Roman"/>
          <w:color w:val="000000"/>
          <w:sz w:val="24"/>
          <w:szCs w:val="24"/>
        </w:rPr>
        <w:t>,</w:t>
      </w:r>
      <w:r w:rsidRPr="000B7B1D">
        <w:rPr>
          <w:rFonts w:ascii="Times New Roman" w:hAnsi="Times New Roman" w:cs="Times New Roman"/>
          <w:sz w:val="24"/>
          <w:szCs w:val="24"/>
        </w:rPr>
        <w:t xml:space="preserve"> resulting in the sequence REGIAFRPASKTFTV assigned to Dsg3</w:t>
      </w:r>
      <w:r w:rsidRPr="000B7B1D">
        <w:rPr>
          <w:rFonts w:ascii="Times New Roman" w:hAnsi="Times New Roman" w:cs="Times New Roman"/>
          <w:sz w:val="24"/>
          <w:szCs w:val="24"/>
          <w:vertAlign w:val="subscript"/>
        </w:rPr>
        <w:t>379-393</w:t>
      </w:r>
      <w:r w:rsidRPr="000B7B1D">
        <w:rPr>
          <w:rFonts w:ascii="Times New Roman" w:eastAsia="Times New Roman" w:hAnsi="Times New Roman" w:cs="Times New Roman"/>
          <w:sz w:val="24"/>
          <w:szCs w:val="24"/>
        </w:rPr>
        <w:t>.</w:t>
      </w:r>
    </w:p>
    <w:p w14:paraId="7ABEF090" w14:textId="7DCFFBFF" w:rsidR="000B7B1D" w:rsidRPr="000B7B1D" w:rsidRDefault="000B7B1D" w:rsidP="00B81EAC">
      <w:pPr>
        <w:snapToGrid w:val="0"/>
        <w:spacing w:after="0" w:line="480" w:lineRule="auto"/>
        <w:jc w:val="both"/>
        <w:rPr>
          <w:rFonts w:ascii="Times New Roman" w:hAnsi="Times New Roman" w:cs="Times New Roman"/>
          <w:sz w:val="24"/>
          <w:szCs w:val="24"/>
        </w:rPr>
      </w:pPr>
      <w:r w:rsidRPr="000B7B1D">
        <w:rPr>
          <w:rFonts w:ascii="Times New Roman" w:eastAsia="Times New Roman" w:hAnsi="Times New Roman" w:cs="Times New Roman"/>
          <w:sz w:val="24"/>
          <w:szCs w:val="24"/>
        </w:rPr>
        <w:t xml:space="preserve">The IMP, TPM203, represents an equimolar mixture of four drug products (TPC0002, TPC0003, TPC0005, and TPC0012) diluted in a diluent (formulation buffer) which consist of 5% (w/v) D-mannitol, 5 mM Tris and 6 mM L-lactic acid. TPC0002, TPC0003, TPC0005 and TPC0012 drug substance and bulk drug product were manufactured and tested according to Good Manufacturing Practice (GMP) at Ardena Oss B.V. in The Netherlands. The fill and finish of the TPCs was performed according to GMP at </w:t>
      </w:r>
      <w:proofErr w:type="spellStart"/>
      <w:r w:rsidRPr="000B7B1D">
        <w:rPr>
          <w:rFonts w:ascii="Times New Roman" w:eastAsia="Times New Roman" w:hAnsi="Times New Roman" w:cs="Times New Roman"/>
          <w:sz w:val="24"/>
          <w:szCs w:val="24"/>
        </w:rPr>
        <w:t>BioConnection</w:t>
      </w:r>
      <w:proofErr w:type="spellEnd"/>
      <w:r w:rsidRPr="000B7B1D">
        <w:rPr>
          <w:rFonts w:ascii="Times New Roman" w:eastAsia="Times New Roman" w:hAnsi="Times New Roman" w:cs="Times New Roman"/>
          <w:sz w:val="24"/>
          <w:szCs w:val="24"/>
        </w:rPr>
        <w:t xml:space="preserve"> B.V. in the Netherlands. Supply, packaging, labelling, handling and storage of the TPCs were performed according to </w:t>
      </w:r>
      <w:r w:rsidRPr="000B7B1D">
        <w:rPr>
          <w:rFonts w:ascii="Times New Roman" w:eastAsia="Times New Roman" w:hAnsi="Times New Roman" w:cs="Times New Roman"/>
          <w:sz w:val="24"/>
          <w:szCs w:val="24"/>
        </w:rPr>
        <w:lastRenderedPageBreak/>
        <w:t xml:space="preserve">GMP at Ardena Ghent in </w:t>
      </w:r>
      <w:r w:rsidR="00613492">
        <w:rPr>
          <w:rFonts w:ascii="Times New Roman" w:eastAsia="Times New Roman" w:hAnsi="Times New Roman" w:cs="Times New Roman"/>
          <w:sz w:val="24"/>
          <w:szCs w:val="24"/>
        </w:rPr>
        <w:t>Belgi</w:t>
      </w:r>
      <w:r w:rsidRPr="000B7B1D">
        <w:rPr>
          <w:rFonts w:ascii="Times New Roman" w:eastAsia="Times New Roman" w:hAnsi="Times New Roman" w:cs="Times New Roman"/>
          <w:sz w:val="24"/>
          <w:szCs w:val="24"/>
        </w:rPr>
        <w:t xml:space="preserve">um. TPM203 was compounded, labelled and QP released by a GMP-certified pharmacy, by mixing and diluting the individual TPCs (vialed drug products) according to detailed dose preparation instructions. </w:t>
      </w:r>
      <w:r w:rsidRPr="000B7B1D">
        <w:rPr>
          <w:rFonts w:ascii="Times New Roman" w:hAnsi="Times New Roman" w:cs="Times New Roman"/>
          <w:sz w:val="24"/>
          <w:szCs w:val="24"/>
        </w:rPr>
        <w:t xml:space="preserve">After compounding, the finally mixed and diluted drug product TPM203 was proven to be physically and chemically stable for 48 h when stored at 2–8°C. </w:t>
      </w:r>
    </w:p>
    <w:p w14:paraId="0A1FBDA0" w14:textId="77777777" w:rsidR="000B7B1D" w:rsidRPr="000B7B1D" w:rsidRDefault="000B7B1D" w:rsidP="00B81EAC">
      <w:pPr>
        <w:snapToGrid w:val="0"/>
        <w:spacing w:after="0" w:line="480" w:lineRule="auto"/>
        <w:jc w:val="both"/>
        <w:rPr>
          <w:rFonts w:ascii="Times New Roman" w:hAnsi="Times New Roman" w:cs="Times New Roman"/>
          <w:sz w:val="24"/>
          <w:szCs w:val="24"/>
        </w:rPr>
      </w:pPr>
    </w:p>
    <w:p w14:paraId="7EBA5998" w14:textId="2E236743" w:rsidR="000B7B1D" w:rsidRPr="000B7B1D" w:rsidRDefault="000B7B1D" w:rsidP="00B81EAC">
      <w:pPr>
        <w:snapToGrid w:val="0"/>
        <w:spacing w:after="0" w:line="480" w:lineRule="auto"/>
        <w:jc w:val="both"/>
        <w:rPr>
          <w:rFonts w:ascii="Times New Roman" w:hAnsi="Times New Roman" w:cs="Times New Roman"/>
          <w:sz w:val="24"/>
          <w:szCs w:val="24"/>
        </w:rPr>
      </w:pPr>
      <w:r w:rsidRPr="000B7B1D">
        <w:rPr>
          <w:rFonts w:ascii="Times New Roman" w:hAnsi="Times New Roman" w:cs="Times New Roman"/>
          <w:b/>
          <w:bCs/>
          <w:sz w:val="24"/>
          <w:szCs w:val="24"/>
        </w:rPr>
        <w:t>Protein production and purification</w:t>
      </w:r>
      <w:r w:rsidRPr="000B7B1D">
        <w:rPr>
          <w:rFonts w:ascii="Times New Roman" w:hAnsi="Times New Roman" w:cs="Times New Roman"/>
          <w:sz w:val="24"/>
          <w:szCs w:val="24"/>
        </w:rPr>
        <w:t xml:space="preserve">—The extracellular domain of human </w:t>
      </w:r>
      <w:r w:rsidRPr="000B7B1D">
        <w:rPr>
          <w:rFonts w:ascii="Times New Roman" w:eastAsia="Batang" w:hAnsi="Times New Roman" w:cs="Times New Roman"/>
          <w:sz w:val="24"/>
          <w:szCs w:val="24"/>
          <w:lang w:eastAsia="ko-KR"/>
        </w:rPr>
        <w:t>Dsg3(aa</w:t>
      </w:r>
      <w:r w:rsidRPr="000B7B1D">
        <w:rPr>
          <w:rFonts w:ascii="Times New Roman" w:eastAsia="Batang" w:hAnsi="Times New Roman" w:cs="Times New Roman"/>
          <w:sz w:val="24"/>
          <w:szCs w:val="24"/>
          <w:vertAlign w:val="subscript"/>
          <w:lang w:eastAsia="ko-KR"/>
        </w:rPr>
        <w:t>1-566)</w:t>
      </w:r>
      <w:r w:rsidRPr="000B7B1D">
        <w:rPr>
          <w:rFonts w:ascii="Times New Roman" w:eastAsia="Batang" w:hAnsi="Times New Roman" w:cs="Times New Roman"/>
          <w:sz w:val="24"/>
          <w:szCs w:val="24"/>
          <w:lang w:eastAsia="ko-KR"/>
        </w:rPr>
        <w:t xml:space="preserve"> </w:t>
      </w:r>
      <w:r w:rsidRPr="000B7B1D">
        <w:rPr>
          <w:rFonts w:ascii="Times New Roman" w:hAnsi="Times New Roman" w:cs="Times New Roman"/>
          <w:sz w:val="24"/>
          <w:szCs w:val="24"/>
        </w:rPr>
        <w:t xml:space="preserve">was produced in baculovirus-infected insect cells (High Five; Invitrogen, Carlsbad, CA, USA) as described previously </w:t>
      </w:r>
      <w:sdt>
        <w:sdtPr>
          <w:rPr>
            <w:rFonts w:ascii="Times New Roman" w:hAnsi="Times New Roman" w:cs="Times New Roman"/>
            <w:color w:val="000000"/>
            <w:sz w:val="24"/>
            <w:szCs w:val="24"/>
            <w:vertAlign w:val="superscript"/>
          </w:rPr>
          <w:tag w:val="MENDELEY_CITATION_v3_eyJjaXRhdGlvbklEIjoiTUVOREVMRVlfQ0lUQVRJT05fYzdjMjhlMTUtMzRiMi00YmVhLWJmNzAtZWQyZWUzMGZhNzQ4IiwicHJvcGVydGllcyI6eyJub3RlSW5kZXgiOjB9LCJpc0VkaXRlZCI6ZmFsc2UsIm1hbnVhbE92ZXJyaWRlIjp7ImlzTWFudWFsbHlPdmVycmlkZGVuIjpmYWxzZSwiY2l0ZXByb2NUZXh0IjoiPHN1cD40PC9zdXA+IiwibWFudWFsT3ZlcnJpZGVUZXh0IjoiIn0sImNpdGF0aW9uSXRlbXMiOlt7ImlkIjoiYTVmMWI5MTUtYTJjZS0zZjU1LWJlMzEtMzU3Zjk5ODE0Zjk2IiwiaXRlbURhdGEiOnsidHlwZSI6ImFydGljbGUtam91cm5hbCIsImlkIjoiYTVmMWI5MTUtYTJjZS0zZjU1LWJlMzEtMzU3Zjk5ODE0Zjk2IiwidGl0bGUiOiJJZ0cgcmVhY3Rpdml0eSBhZ2FpbnN0IG5vbuKAkGNvbmZvcm1hdGlvbmFsIE5IIDxzdWI+Mjwvc3ViPiDigJB0ZXJtaW5hbCBlcGl0b3BlcyBvZiB0aGUgZGVzbW9nbGVpbiAzIGVjdG9kb21haW4gcmVsYXRlcyB0byBjbGluaWNhbCBhY3Rpdml0eSBhbmQgcGhlbm90eXBlIG9mIHBlbXBoaWd1cyB2dWxnYXJpcyIsImF1dGhvciI6W3siZmFtaWx5IjoiTcO8bGxlciIsImdpdmVuIjoiUmFsZiIsInBhcnNlLW5hbWVzIjpmYWxzZSwiZHJvcHBpbmctcGFydGljbGUiOiIiLCJub24tZHJvcHBpbmctcGFydGljbGUiOiIifSx7ImZhbWlseSI6IlN2b2JvZGEiLCJnaXZlbiI6IlZlcmEiLCJwYXJzZS1uYW1lcyI6ZmFsc2UsImRyb3BwaW5nLXBhcnRpY2xlIjoiIiwibm9uLWRyb3BwaW5nLXBhcnRpY2xlIjoiIn0seyJmYW1pbHkiOiJXZW56ZWwiLCJnaXZlbiI6IkVsa2UiLCJwYXJzZS1uYW1lcyI6ZmFsc2UsImRyb3BwaW5nLXBhcnRpY2xlIjoiIiwibm9uLWRyb3BwaW5nLXBhcnRpY2xlIjoiIn0seyJmYW1pbHkiOiJHZWJlcnQiLCJnaXZlbiI6IlN1c2FubmUiLCJwYXJzZS1uYW1lcyI6ZmFsc2UsImRyb3BwaW5nLXBhcnRpY2xlIjoiIiwibm9uLWRyb3BwaW5nLXBhcnRpY2xlIjoiIn0seyJmYW1pbHkiOiJIdW56ZWxtYW5uIiwiZ2l2ZW4iOiJOaWNvbGFzIiwicGFyc2UtbmFtZXMiOmZhbHNlLCJkcm9wcGluZy1wYXJ0aWNsZSI6IiIsIm5vbi1kcm9wcGluZy1wYXJ0aWNsZSI6IiJ9LHsiZmFtaWx5IjoiTcO8bGxlciIsImdpdmVuIjoiSGFuc+KAkEhlbGdlIiwicGFyc2UtbmFtZXMiOmZhbHNlLCJkcm9wcGluZy1wYXJ0aWNsZSI6IiIsIm5vbi1kcm9wcGluZy1wYXJ0aWNsZSI6IiJ9LHsiZmFtaWx5IjoiSGVydGwiLCJnaXZlbiI6Ik1pY2hhZWwiLCJwYXJzZS1uYW1lcyI6ZmFsc2UsImRyb3BwaW5nLXBhcnRpY2xlIjoiIiwibm9uLWRyb3BwaW5nLXBhcnRpY2xlIjoiIn1dLCJjb250YWluZXItdGl0bGUiOiJFeHBlcmltZW50YWwgRGVybWF0b2xvZ3kiLCJjb250YWluZXItdGl0bGUtc2hvcnQiOiJFeHAgRGVybWF0b2wiLCJET0kiOiIxMC4xMTExL2ouMTYwMC0wNjI1LjIwMDYuMDA0NTEueCIsIklTU04iOiIwOTA2LTY3MDUiLCJpc3N1ZWQiOnsiZGF0ZS1wYXJ0cyI6W1syMDA2LDgsMzBdXX0sInBhZ2UiOiI2MDYtNjE0IiwiYWJzdHJhY3QiOiI8cD4gPGJvbGQ+QWJzdHJhY3Q64oCCPC9ib2xkPiBQZW1waGlndXMgdnVsZ2FyaXMgKFBWKSBpcyBhbiBhdXRvaW1tdW5lIGRpc2Vhc2UgY2F1c2VkIGJ5IGltbXVub2dsb2J1bGluIEcgKElnRykgYXV0b2FudGlib2RpZXMgYWdhaW5zdCB0aGUgZGVzbW9zb21hbCBhZGhlc2lvbiBtb2xlY3VsZXMsIGRlc21vZ2xlaW4gKERzZykzIGFuZCBEc2cxLiBUaGUgYWltIG9mIHRoZSBzdHVkeSB3YXMgdG8gcmVsYXRlIElnRyByZWFjdGl2aXR5IG9mIDEyMyBQViBzZXJhIGFuZCA0MCBjb250cm9sIHNlcmEgYWdhaW5zdCBOSCA8c3ViPjI8L3N1Yj4g4oCQdGVybWluYWwgbm9u4oCQY29uZm9ybWF0aW9uYWwgZXBpdG9wZXMgb2YgRHNnMyBhbmQgRHNnMSB3aXRoIGRpc2Vhc2UgYWN0aXZpdHkgYW5kIGNsaW5pY2FsIHBoZW5vdHlwZSBieSBlbnp5bWXigJBsaW5rZWQgaW1tdW5vc29yYmVudCBhc3NheS4gVGhlIHJlc3VsdHMgc2hvdyB0aGF0IChpKSB0aGUgb3ZlcmFsbCByZWFjdGl2aXR5IGFuZCB0aGUgdGl0cmVzIG9mIElnRyByZWFjdGl2ZSB3aXRoIHRoZSBEc2czIGVjdG9kb21haW4sIERzZzMoMeKAkzU2NiksIHNpZ25pZmljYW50bHkgY29ycmVsYXRlZCB3aXRoIHRoZSBkaXNlYXNlIGFjdGl2aXR5IG9mIHRoZSBQViBwYXRpZW50czsgKGlpKSBJZ0cgcmVhY3Rpdml0eSBhZ2FpbnN0IHRoZSBOSCA8c3ViPjI8L3N1Yj4g4oCQdGVybWludXMgb2YgRHNnMywgRHNnMygx4oCTMTYxKSwgd2FzIGFzc29jaWF0ZWQgd2l0aCBhY3RpdmUgUFYgd2hpbGUgdGhlcmUgd2FzIG5vIGRpcmVjdCBjb3JyZWxhdGlvbiBiZXR3ZWVuIHRoZSBJZ0cgdGl0cmVzIGFuZCB0aGUgZGlzZWFzZSBhY3Rpdml0eTsgKGlpaSkgSWdHIHJlYWN0aXZpdHkgYWdhaW5zdCB0aGUgTkggPHN1Yj4yPC9zdWI+IOKAkHRlcm1pbnVzIG9mIERzZzMsIERzZzMoMeKAkzE2MSksIHdhcyBhc3NvY2lhdGVkIHdpdGggbXVjb3NhbCBhbmQgbXVjb2N1dGFuZW91cyBQVjsgKGl2KSBJZ0cgdGl0cmVzIGFnYWluc3QgYSBzbWFsbCBzdHJldGNoIG9mIHRoZSBOSCA8c3ViPjI8L3N1Yj4g4oCQdGVybWludXMgb2YgRHNnMywgRHNnMygyNeKAkzg4KSwgd2VyZSBhc3NvY2lhdGVkIHdpdGggYWN0aXZlIFBWOyBhbmQgKHYpIElnRyBpbiB0aGUgUFYgc2VyYSBkZXRlY3RlZCBub27igJBjb25mb3JtYXRpb25hbCBlcGl0b3BlcyBpbiBhZGRpdGlvbiB0byB0aGUgcHJldmlvdXNseSBpZGVudGlmaWVkIGNvbmZvcm1hdGlvbuKAkGRlcGVuZGVudCBlcGl0b3BlcyBvZiB0aGUgRHNnMyBhbmQgRHNnMSBlY3RvZG9tYWlucy4gPC9wPiIsImlzc3VlIjoiOCIsInZvbHVtZSI6IjE1In0sImlzVGVtcG9yYXJ5IjpmYWxzZX1dfQ=="/>
          <w:id w:val="-2043737850"/>
          <w:placeholder>
            <w:docPart w:val="7814475A366A41CF821C4CE861DF340B"/>
          </w:placeholder>
        </w:sdtPr>
        <w:sdtEndPr/>
        <w:sdtContent>
          <w:r w:rsidRPr="000B7B1D">
            <w:rPr>
              <w:rFonts w:ascii="Times New Roman" w:hAnsi="Times New Roman" w:cs="Times New Roman"/>
              <w:color w:val="000000"/>
              <w:sz w:val="24"/>
              <w:szCs w:val="24"/>
              <w:vertAlign w:val="superscript"/>
            </w:rPr>
            <w:t>4</w:t>
          </w:r>
        </w:sdtContent>
      </w:sdt>
      <w:r w:rsidRPr="000B7B1D">
        <w:rPr>
          <w:rFonts w:ascii="Times New Roman" w:hAnsi="Times New Roman" w:cs="Times New Roman"/>
          <w:sz w:val="24"/>
          <w:szCs w:val="24"/>
        </w:rPr>
        <w:t>. Proteins were purified by affinity chromatography using nickel–nitrilotriacetic agarose beads (Qiagen, Hilden, Germany) according to the manufacturer’s instructions. Purified protein was gradually dialyzed against PBS supplemented with 0.5 mmol/L CaCl</w:t>
      </w:r>
      <w:r w:rsidRPr="000B7B1D">
        <w:rPr>
          <w:rFonts w:ascii="Times New Roman" w:hAnsi="Times New Roman" w:cs="Times New Roman"/>
          <w:sz w:val="24"/>
          <w:szCs w:val="24"/>
          <w:vertAlign w:val="subscript"/>
        </w:rPr>
        <w:t>2</w:t>
      </w:r>
      <w:r w:rsidRPr="000B7B1D">
        <w:rPr>
          <w:rFonts w:ascii="Times New Roman" w:hAnsi="Times New Roman" w:cs="Times New Roman"/>
          <w:sz w:val="24"/>
          <w:szCs w:val="24"/>
        </w:rPr>
        <w:t>. Quality control was performed with Coomassie staining and ELISA using patient sera.</w:t>
      </w:r>
    </w:p>
    <w:p w14:paraId="4E0C1E72" w14:textId="77777777" w:rsidR="000B7B1D" w:rsidRPr="000B7B1D" w:rsidRDefault="000B7B1D" w:rsidP="00B81EAC">
      <w:pPr>
        <w:snapToGrid w:val="0"/>
        <w:spacing w:after="0" w:line="480" w:lineRule="auto"/>
        <w:jc w:val="both"/>
        <w:rPr>
          <w:rFonts w:ascii="Times New Roman" w:hAnsi="Times New Roman" w:cs="Times New Roman"/>
          <w:sz w:val="24"/>
          <w:szCs w:val="24"/>
        </w:rPr>
      </w:pPr>
    </w:p>
    <w:p w14:paraId="41F8C991" w14:textId="77777777" w:rsidR="000B7B1D" w:rsidRPr="000B7B1D" w:rsidRDefault="000B7B1D" w:rsidP="00B81EAC">
      <w:pPr>
        <w:pStyle w:val="Default"/>
        <w:snapToGrid w:val="0"/>
        <w:spacing w:line="480" w:lineRule="auto"/>
        <w:jc w:val="both"/>
        <w:rPr>
          <w:rFonts w:ascii="Times New Roman" w:hAnsi="Times New Roman" w:cs="Times New Roman"/>
          <w:lang w:eastAsia="nl-NL"/>
        </w:rPr>
      </w:pPr>
      <w:r w:rsidRPr="000B7B1D">
        <w:rPr>
          <w:rFonts w:ascii="Times New Roman" w:hAnsi="Times New Roman" w:cs="Times New Roman"/>
          <w:b/>
        </w:rPr>
        <w:t>Preclinical study in a humanized mouse model of PV</w:t>
      </w:r>
      <w:r w:rsidRPr="000B7B1D">
        <w:rPr>
          <w:rFonts w:ascii="Times New Roman" w:hAnsi="Times New Roman" w:cs="Times New Roman"/>
        </w:rPr>
        <w:t>—HLA-</w:t>
      </w:r>
      <w:r w:rsidRPr="000B7B1D">
        <w:rPr>
          <w:rFonts w:ascii="Times New Roman" w:hAnsi="Times New Roman" w:cs="Times New Roman"/>
          <w:i/>
        </w:rPr>
        <w:t>DRB1*04:02/HLA-DQA1*03:01-DQB1*03:02</w:t>
      </w:r>
      <w:r w:rsidRPr="000B7B1D">
        <w:rPr>
          <w:rFonts w:ascii="Times New Roman" w:hAnsi="Times New Roman" w:cs="Times New Roman"/>
          <w:i/>
          <w:vertAlign w:val="superscript"/>
        </w:rPr>
        <w:t>+/+</w:t>
      </w:r>
      <w:r w:rsidRPr="000B7B1D">
        <w:rPr>
          <w:rFonts w:ascii="Times New Roman" w:hAnsi="Times New Roman" w:cs="Times New Roman"/>
          <w:i/>
        </w:rPr>
        <w:t>, mouse I-A</w:t>
      </w:r>
      <w:r w:rsidRPr="000B7B1D">
        <w:rPr>
          <w:rFonts w:ascii="Times New Roman" w:eastAsia="Symbol" w:hAnsi="Times New Roman" w:cs="Times New Roman"/>
          <w:i/>
        </w:rPr>
        <w:t>β</w:t>
      </w:r>
      <w:r w:rsidRPr="000B7B1D">
        <w:rPr>
          <w:rFonts w:ascii="Times New Roman" w:hAnsi="Times New Roman" w:cs="Times New Roman"/>
          <w:i/>
          <w:vertAlign w:val="superscript"/>
        </w:rPr>
        <w:t>-/-</w:t>
      </w:r>
      <w:r w:rsidRPr="000B7B1D">
        <w:rPr>
          <w:rFonts w:ascii="Times New Roman" w:hAnsi="Times New Roman" w:cs="Times New Roman"/>
          <w:i/>
        </w:rPr>
        <w:t>, human (h)CD4</w:t>
      </w:r>
      <w:r w:rsidRPr="000B7B1D">
        <w:rPr>
          <w:rFonts w:ascii="Times New Roman" w:hAnsi="Times New Roman" w:cs="Times New Roman"/>
          <w:i/>
          <w:vertAlign w:val="superscript"/>
        </w:rPr>
        <w:t>+/+</w:t>
      </w:r>
      <w:r w:rsidRPr="000B7B1D">
        <w:rPr>
          <w:rFonts w:ascii="Times New Roman" w:hAnsi="Times New Roman" w:cs="Times New Roman"/>
        </w:rPr>
        <w:t xml:space="preserve"> C57BL/6J mice were immunized with 40 µg of recombinant human (h)Dsg3 (extracellular domain aa 1-566) in aluminium hydroxide via intraperitoneal injection on days 0 and 14. The day before each immunization, mice received intravenously 120 µl of TPM203 (10 nmol in a formulation buffer containing 5% mannitol, 5 mM Tris and 6 mM lactic acid) or controls (empty TPs or vehicle alone). Serum was collected at predetermined time points for antibody quantification using ELISA. A separate set of mice was sacrificed on day 7 and splenocytes were isolated for flow cytometric analysis. </w:t>
      </w:r>
      <w:r w:rsidRPr="000B7B1D">
        <w:rPr>
          <w:rFonts w:ascii="Times New Roman" w:hAnsi="Times New Roman" w:cs="Times New Roman"/>
          <w:lang w:eastAsia="nl-NL"/>
        </w:rPr>
        <w:t>The studies were performed in compliance with German Animal Welfare Act and approved by the local governmental authorities (G17/2017, G64/2021, G44/2022).</w:t>
      </w:r>
    </w:p>
    <w:p w14:paraId="00598477" w14:textId="77777777" w:rsidR="000B7B1D" w:rsidRPr="000B7B1D" w:rsidRDefault="000B7B1D" w:rsidP="00B81EAC">
      <w:pPr>
        <w:pStyle w:val="Default"/>
        <w:snapToGrid w:val="0"/>
        <w:spacing w:line="480" w:lineRule="auto"/>
        <w:jc w:val="both"/>
        <w:rPr>
          <w:rFonts w:ascii="Times New Roman" w:hAnsi="Times New Roman" w:cs="Times New Roman"/>
          <w:b/>
          <w:color w:val="auto"/>
          <w:lang w:val="en-US"/>
        </w:rPr>
      </w:pPr>
    </w:p>
    <w:p w14:paraId="053B72F8" w14:textId="357339CB" w:rsidR="000B7B1D" w:rsidRPr="000B7B1D" w:rsidRDefault="000B7B1D" w:rsidP="00B81EAC">
      <w:pPr>
        <w:snapToGrid w:val="0"/>
        <w:spacing w:after="0" w:line="480" w:lineRule="auto"/>
        <w:jc w:val="both"/>
        <w:rPr>
          <w:rFonts w:ascii="Times New Roman" w:hAnsi="Times New Roman" w:cs="Times New Roman"/>
          <w:sz w:val="24"/>
          <w:szCs w:val="24"/>
        </w:rPr>
      </w:pPr>
      <w:r w:rsidRPr="000B7B1D">
        <w:rPr>
          <w:rFonts w:ascii="Times New Roman" w:hAnsi="Times New Roman" w:cs="Times New Roman"/>
          <w:b/>
          <w:bCs/>
          <w:sz w:val="24"/>
          <w:szCs w:val="24"/>
        </w:rPr>
        <w:lastRenderedPageBreak/>
        <w:t>ELISA</w:t>
      </w:r>
      <w:r w:rsidRPr="000B7B1D">
        <w:rPr>
          <w:rFonts w:ascii="Times New Roman" w:hAnsi="Times New Roman" w:cs="Times New Roman"/>
          <w:sz w:val="24"/>
          <w:szCs w:val="24"/>
        </w:rPr>
        <w:t>—For serum antibody quantification of immunized mice, recombinant human (h) Dsg3(aa</w:t>
      </w:r>
      <w:r w:rsidRPr="000B7B1D">
        <w:rPr>
          <w:rFonts w:ascii="Times New Roman" w:hAnsi="Times New Roman" w:cs="Times New Roman"/>
          <w:sz w:val="24"/>
          <w:szCs w:val="24"/>
          <w:vertAlign w:val="subscript"/>
        </w:rPr>
        <w:t>1-566)</w:t>
      </w:r>
      <w:r w:rsidRPr="000B7B1D">
        <w:rPr>
          <w:rFonts w:ascii="Times New Roman" w:hAnsi="Times New Roman" w:cs="Times New Roman"/>
          <w:sz w:val="24"/>
          <w:szCs w:val="24"/>
        </w:rPr>
        <w:t xml:space="preserve"> protein was coated onto microtiter plates at 4 °C overnight (96-Well; Greiner Bio-One, </w:t>
      </w:r>
      <w:proofErr w:type="spellStart"/>
      <w:r w:rsidRPr="000B7B1D">
        <w:rPr>
          <w:rFonts w:ascii="Times New Roman" w:hAnsi="Times New Roman" w:cs="Times New Roman"/>
          <w:sz w:val="24"/>
          <w:szCs w:val="24"/>
        </w:rPr>
        <w:t>Frickenhausen</w:t>
      </w:r>
      <w:proofErr w:type="spellEnd"/>
      <w:r w:rsidRPr="000B7B1D">
        <w:rPr>
          <w:rFonts w:ascii="Times New Roman" w:hAnsi="Times New Roman" w:cs="Times New Roman"/>
          <w:sz w:val="24"/>
          <w:szCs w:val="24"/>
        </w:rPr>
        <w:t xml:space="preserve">, Germany). After blocking with PBS + 5% milk powder for 2 h, sera from Dsg3-immunized mice served as a source of primary antibodies at a dilution of 1:400 for 2 h at room temperature. For visualization, HRP-conjugated anti-murine antibodies (1:2,000, Dako, Glostrup, Denmark) were used, followed by development using ABTS (Sigma, Saint Louis, MO, USA). Absorbance level was measured at 405 nm (Tecan plate reader Sunrise + Magellan software (V7.2); Tecan Group Ltd., </w:t>
      </w:r>
      <w:proofErr w:type="spellStart"/>
      <w:r w:rsidRPr="000B7B1D">
        <w:rPr>
          <w:rFonts w:ascii="Times New Roman" w:hAnsi="Times New Roman" w:cs="Times New Roman"/>
          <w:sz w:val="24"/>
          <w:szCs w:val="24"/>
        </w:rPr>
        <w:t>Männedorf</w:t>
      </w:r>
      <w:proofErr w:type="spellEnd"/>
      <w:r w:rsidRPr="000B7B1D">
        <w:rPr>
          <w:rFonts w:ascii="Times New Roman" w:hAnsi="Times New Roman" w:cs="Times New Roman"/>
          <w:sz w:val="24"/>
          <w:szCs w:val="24"/>
        </w:rPr>
        <w:t xml:space="preserve">, Switzerland). To detect </w:t>
      </w:r>
      <w:r w:rsidRPr="000B7B1D">
        <w:rPr>
          <w:rFonts w:ascii="Times New Roman" w:eastAsia="Batang" w:hAnsi="Times New Roman" w:cs="Times New Roman"/>
          <w:sz w:val="24"/>
          <w:szCs w:val="24"/>
          <w:lang w:eastAsia="ko-KR"/>
        </w:rPr>
        <w:t xml:space="preserve">the presence of anti-Dsg3 IgG in the sera of PV patients, the assay was performed using </w:t>
      </w:r>
      <w:r w:rsidRPr="000B7B1D">
        <w:rPr>
          <w:rFonts w:ascii="Times New Roman" w:eastAsiaTheme="minorEastAsia" w:hAnsi="Times New Roman" w:cs="Times New Roman"/>
          <w:sz w:val="24"/>
          <w:szCs w:val="24"/>
        </w:rPr>
        <w:t xml:space="preserve">a hDsg3-coated commercial ELISA plate </w:t>
      </w:r>
      <w:r w:rsidRPr="000B7B1D">
        <w:rPr>
          <w:rFonts w:ascii="Times New Roman" w:eastAsia="Batang" w:hAnsi="Times New Roman" w:cs="Times New Roman"/>
          <w:sz w:val="24"/>
          <w:szCs w:val="24"/>
          <w:lang w:eastAsia="ko-KR"/>
        </w:rPr>
        <w:t>(</w:t>
      </w:r>
      <w:proofErr w:type="spellStart"/>
      <w:r w:rsidRPr="000B7B1D">
        <w:rPr>
          <w:rFonts w:ascii="Times New Roman" w:eastAsia="Batang" w:hAnsi="Times New Roman" w:cs="Times New Roman"/>
          <w:sz w:val="24"/>
          <w:szCs w:val="24"/>
          <w:lang w:eastAsia="ko-KR"/>
        </w:rPr>
        <w:t>Euroimmun</w:t>
      </w:r>
      <w:proofErr w:type="spellEnd"/>
      <w:r w:rsidRPr="000B7B1D">
        <w:rPr>
          <w:rFonts w:ascii="Times New Roman" w:eastAsia="Batang" w:hAnsi="Times New Roman" w:cs="Times New Roman"/>
          <w:sz w:val="24"/>
          <w:szCs w:val="24"/>
          <w:lang w:eastAsia="ko-KR"/>
        </w:rPr>
        <w:t xml:space="preserve">, </w:t>
      </w:r>
      <w:proofErr w:type="spellStart"/>
      <w:r w:rsidRPr="000B7B1D">
        <w:rPr>
          <w:rFonts w:ascii="Times New Roman" w:eastAsia="Batang" w:hAnsi="Times New Roman" w:cs="Times New Roman"/>
          <w:sz w:val="24"/>
          <w:szCs w:val="24"/>
          <w:lang w:eastAsia="ko-KR"/>
        </w:rPr>
        <w:t>Lübeck</w:t>
      </w:r>
      <w:proofErr w:type="spellEnd"/>
      <w:r w:rsidRPr="000B7B1D">
        <w:rPr>
          <w:rFonts w:ascii="Times New Roman" w:eastAsia="Batang" w:hAnsi="Times New Roman" w:cs="Times New Roman"/>
          <w:sz w:val="24"/>
          <w:szCs w:val="24"/>
          <w:lang w:eastAsia="ko-KR"/>
        </w:rPr>
        <w:t xml:space="preserve">, Germany) according to the manufacturer’s protocol </w:t>
      </w:r>
      <w:sdt>
        <w:sdtPr>
          <w:rPr>
            <w:rFonts w:ascii="Times New Roman" w:eastAsia="Batang" w:hAnsi="Times New Roman" w:cs="Times New Roman"/>
            <w:color w:val="000000"/>
            <w:sz w:val="24"/>
            <w:szCs w:val="24"/>
            <w:vertAlign w:val="superscript"/>
            <w:lang w:eastAsia="ko-KR"/>
          </w:rPr>
          <w:tag w:val="MENDELEY_CITATION_v3_eyJjaXRhdGlvbklEIjoiTUVOREVMRVlfQ0lUQVRJT05fZmJhYWNjMTQtZTFlYi00YmY0LTg0MWItZWU4NDU0ZDlmY2Q5IiwicHJvcGVydGllcyI6eyJub3RlSW5kZXgiOjB9LCJpc0VkaXRlZCI6ZmFsc2UsIm1hbnVhbE92ZXJyaWRlIjp7ImlzTWFudWFsbHlPdmVycmlkZGVuIjpmYWxzZSwiY2l0ZXByb2NUZXh0IjoiPHN1cD41PC9zdXA+IiwibWFudWFsT3ZlcnJpZGVUZXh0IjoiIn0sImNpdGF0aW9uSXRlbXMiOlt7ImlkIjoiZjI3OWIxMGMtNTZlNi0zMWI1LTljYjMtYjc5ODFhODI1YzY3IiwiaXRlbURhdGEiOnsidHlwZSI6ImFydGljbGUtam91cm5hbCIsImlkIjoiZjI3OWIxMGMtNTZlNi0zMWI1LTljYjMtYjc5ODFhODI1YzY3IiwidGl0bGUiOiJOb3ZlbCBFTElTQSBzeXN0ZW1zIGZvciBhbnRpYm9kaWVzIHRvIGRlc21vZ2xlaW4gMSBhbmQgMzogY29ycmVsYXRpb24gb2YgZGlzZWFzZSBhY3Rpdml0eSB3aXRoIHNlcnVtIGF1dG9hbnRpYm9keSBsZXZlbHMgaW4gaW5kaXZpZHVhbCBwZW1waGlndXMgcGF0aWVudHMiLCJhdXRob3IiOlt7ImZhbWlseSI6IlNjaG1pZHQiLCJnaXZlbiI6IkVubm8iLCJwYXJzZS1uYW1lcyI6ZmFsc2UsImRyb3BwaW5nLXBhcnRpY2xlIjoiIiwibm9uLWRyb3BwaW5nLXBhcnRpY2xlIjoiIn0seyJmYW1pbHkiOiJEw6RobnJpY2giLCJnaXZlbiI6IkNvcm5lbGlhIiwicGFyc2UtbmFtZXMiOmZhbHNlLCJkcm9wcGluZy1wYXJ0aWNsZSI6IiIsIm5vbi1kcm9wcGluZy1wYXJ0aWNsZSI6IiJ9LHsiZmFtaWx5IjoiUm9zZW1hbm4iLCJnaXZlbiI6IkFua2UiLCJwYXJzZS1uYW1lcyI6ZmFsc2UsImRyb3BwaW5nLXBhcnRpY2xlIjoiIiwibm9uLWRyb3BwaW5nLXBhcnRpY2xlIjoiIn0seyJmYW1pbHkiOiJQcm9ic3QiLCJnaXZlbiI6IkNocmlzdGlhbiIsInBhcnNlLW5hbWVzIjpmYWxzZSwiZHJvcHBpbmctcGFydGljbGUiOiIiLCJub24tZHJvcHBpbmctcGFydGljbGUiOiIifSx7ImZhbWlseSI6IktvbW9yb3dza2kiLCJnaXZlbiI6IkxhcnMiLCJwYXJzZS1uYW1lcyI6ZmFsc2UsImRyb3BwaW5nLXBhcnRpY2xlIjoiIiwibm9uLWRyb3BwaW5nLXBhcnRpY2xlIjoiIn0seyJmYW1pbHkiOiJTYXNjaGVuYnJlY2tlciIsImdpdmVuIjoiU2FuZHJhIiwicGFyc2UtbmFtZXMiOmZhbHNlLCJkcm9wcGluZy1wYXJ0aWNsZSI6IiIsIm5vbi1kcm9wcGluZy1wYXJ0aWNsZSI6IiJ9LHsiZmFtaWx5IjoiU2NobHVtYmVyZ2VyIiwiZ2l2ZW4iOiJXb2xmZ2FuZyIsInBhcnNlLW5hbWVzIjpmYWxzZSwiZHJvcHBpbmctcGFydGljbGUiOiIiLCJub24tZHJvcHBpbmctcGFydGljbGUiOiIifSx7ImZhbWlseSI6IlN0w7Zja2VyIiwiZ2l2ZW4iOiJXaW5mcmllZCIsInBhcnNlLW5hbWVzIjpmYWxzZSwiZHJvcHBpbmctcGFydGljbGUiOiIiLCJub24tZHJvcHBpbmctcGFydGljbGUiOiIifSx7ImZhbWlseSI6Ikhhc2hpbW90byIsImdpdmVuIjoiVGFrYXNoaSIsInBhcnNlLW5hbWVzIjpmYWxzZSwiZHJvcHBpbmctcGFydGljbGUiOiIiLCJub24tZHJvcHBpbmctcGFydGljbGUiOiIifSx7ImZhbWlseSI6IkJyw7Zja2VyIiwiZ2l2ZW4iOiJFdmHigJBCZXR0aW5hIiwicGFyc2UtbmFtZXMiOmZhbHNlLCJkcm9wcGluZy1wYXJ0aWNsZSI6IiIsIm5vbi1kcm9wcGluZy1wYXJ0aWNsZSI6IiJ9LHsiZmFtaWx5IjoiUmVja2UiLCJnaXZlbiI6IkFuZHJlYXMiLCJwYXJzZS1uYW1lcyI6ZmFsc2UsImRyb3BwaW5nLXBhcnRpY2xlIjoiIiwibm9uLWRyb3BwaW5nLXBhcnRpY2xlIjoiIn0seyJmYW1pbHkiOiJSb3NlIiwiZ2l2ZW4iOiJDaHJpc3RpYW4iLCJwYXJzZS1uYW1lcyI6ZmFsc2UsImRyb3BwaW5nLXBhcnRpY2xlIjoiIiwibm9uLWRyb3BwaW5nLXBhcnRpY2xlIjoiIn0seyJmYW1pbHkiOiJaaWxsaWtlbnMiLCJnaXZlbiI6IkRldGxlZiIsInBhcnNlLW5hbWVzIjpmYWxzZSwiZHJvcHBpbmctcGFydGljbGUiOiIiLCJub24tZHJvcHBpbmctcGFydGljbGUiOiIifV0sImNvbnRhaW5lci10aXRsZSI6IkV4cGVyaW1lbnRhbCBEZXJtYXRvbG9neSIsImNvbnRhaW5lci10aXRsZS1zaG9ydCI6IkV4cCBEZXJtYXRvbCIsIkRPSSI6IjEwLjExMTEvai4xNjAwLTA2MjUuMjAxMC4wMTA2OS54IiwiSVNTTiI6IjA5MDYtNjcwNSIsImlzc3VlZCI6eyJkYXRlLXBhcnRzIjpbWzIwMTAsNSwxMl1dfSwicGFnZSI6IjQ1OC00NjMiLCJhYnN0cmFjdCI6IjxwPiA8aXRhbGljPlBsZWFzZSBjaXRlIHRoaXMgcGFwZXIgYXM6PC9pdGFsaWM+IE5vdmVsIEVMSVNBIHN5c3RlbXMgZm9yIGFudGlib2RpZXMgdG8gZGVzbW9nbGVpbiAxIGFuZCAzOiBjb3JyZWxhdGlvbiBvZiBkaXNlYXNlIGFjdGl2aXR5IHdpdGggc2VydW0gYXV0b2FudGlib2R5IGxldmVscyBpbiBpbmRpdmlkdWFsIHBlbXBoaWd1cyBwYXRpZW50cy4gRXhwZXJpbWVudGFsIERlcm1hdG9sb2d5IDIwMTA7IDE5OiA0NTjigJM0NjMuIDwvcD4iLCJpc3N1ZSI6IjUiLCJ2b2x1bWUiOiIxOSJ9LCJpc1RlbXBvcmFyeSI6ZmFsc2V9XX0="/>
          <w:id w:val="-2100561204"/>
          <w:placeholder>
            <w:docPart w:val="CFE3BBC59CDF456F97CE6B110F508D24"/>
          </w:placeholder>
        </w:sdtPr>
        <w:sdtEndPr/>
        <w:sdtContent>
          <w:r w:rsidRPr="000B7B1D">
            <w:rPr>
              <w:rFonts w:ascii="Times New Roman" w:eastAsia="Batang" w:hAnsi="Times New Roman" w:cs="Times New Roman"/>
              <w:color w:val="000000"/>
              <w:sz w:val="24"/>
              <w:szCs w:val="24"/>
              <w:vertAlign w:val="superscript"/>
              <w:lang w:eastAsia="ko-KR"/>
            </w:rPr>
            <w:t>5</w:t>
          </w:r>
        </w:sdtContent>
      </w:sdt>
      <w:r w:rsidRPr="000B7B1D">
        <w:rPr>
          <w:rFonts w:ascii="Times New Roman" w:hAnsi="Times New Roman" w:cs="Times New Roman"/>
          <w:sz w:val="24"/>
          <w:szCs w:val="24"/>
        </w:rPr>
        <w:t>.</w:t>
      </w:r>
      <w:r w:rsidRPr="000B7B1D">
        <w:rPr>
          <w:rFonts w:ascii="Times New Roman" w:hAnsi="Times New Roman" w:cs="Times New Roman"/>
          <w:i/>
          <w:iCs/>
          <w:sz w:val="24"/>
          <w:szCs w:val="24"/>
        </w:rPr>
        <w:t xml:space="preserve"> </w:t>
      </w:r>
      <w:r w:rsidRPr="000B7B1D">
        <w:rPr>
          <w:rFonts w:ascii="Times New Roman" w:hAnsi="Times New Roman" w:cs="Times New Roman"/>
          <w:sz w:val="24"/>
          <w:szCs w:val="24"/>
        </w:rPr>
        <w:t>Data were expressed as relative units per ml.</w:t>
      </w:r>
    </w:p>
    <w:p w14:paraId="54B64E3D" w14:textId="77777777" w:rsidR="000B7B1D" w:rsidRPr="000B7B1D" w:rsidRDefault="000B7B1D" w:rsidP="00B81EAC">
      <w:pPr>
        <w:snapToGrid w:val="0"/>
        <w:spacing w:after="0" w:line="480" w:lineRule="auto"/>
        <w:jc w:val="both"/>
        <w:rPr>
          <w:rFonts w:ascii="Times New Roman" w:hAnsi="Times New Roman" w:cs="Times New Roman"/>
          <w:sz w:val="24"/>
          <w:szCs w:val="24"/>
        </w:rPr>
      </w:pPr>
    </w:p>
    <w:p w14:paraId="70E46092" w14:textId="77777777" w:rsidR="000B7B1D" w:rsidRPr="000B7B1D" w:rsidRDefault="000B7B1D" w:rsidP="00B81EAC">
      <w:pPr>
        <w:pStyle w:val="Default"/>
        <w:spacing w:line="480" w:lineRule="auto"/>
        <w:jc w:val="both"/>
        <w:rPr>
          <w:rFonts w:ascii="Times New Roman" w:hAnsi="Times New Roman" w:cs="Times New Roman"/>
          <w:color w:val="auto"/>
          <w:lang w:val="en-US"/>
        </w:rPr>
      </w:pPr>
      <w:r w:rsidRPr="000B7B1D">
        <w:rPr>
          <w:rFonts w:ascii="Times New Roman" w:hAnsi="Times New Roman" w:cs="Times New Roman"/>
          <w:b/>
          <w:bCs/>
          <w:lang w:val="en-US"/>
        </w:rPr>
        <w:t>Pharmacokinetic assay</w:t>
      </w:r>
      <w:r w:rsidRPr="000B7B1D">
        <w:rPr>
          <w:rFonts w:ascii="Times New Roman" w:hAnsi="Times New Roman" w:cs="Times New Roman"/>
          <w:lang w:val="en-US"/>
        </w:rPr>
        <w:t xml:space="preserve">—The pharmacokinetic analysis of the four TPCs studied TPM203 was performed at Ardena Bioanalysis BV (Assen, The Netherlands). </w:t>
      </w:r>
      <w:r w:rsidRPr="000B7B1D">
        <w:rPr>
          <w:rFonts w:ascii="Times New Roman" w:hAnsi="Times New Roman" w:cs="Times New Roman"/>
          <w:color w:val="auto"/>
          <w:lang w:val="en-US"/>
        </w:rPr>
        <w:t>An LC-MS/MS bioanalytical method for the quantification of TPC0002, TPC0003, TPC0005 and TPC0012 in human K2-EDTA plasma was validated according to generally recommended acceptance criteria and SOP for samples stored at ≤ -18°C and ≤ -70°C. With this method, TPC0002, TPC0003, TPC0005 and TPC0012 were extracted from 50 µL of human K2-EDTA plasma. The method for the determination of TPC0002, TPC0003, TPC0005 and TPC0012 concentrations in human K2-EDTA plasma samples consisted of a combination of sample extraction and trypsin digestion prior to LC-MS/MS analysis.</w:t>
      </w:r>
    </w:p>
    <w:p w14:paraId="0459B602" w14:textId="77777777" w:rsidR="000B7B1D" w:rsidRPr="000B7B1D" w:rsidRDefault="000B7B1D" w:rsidP="00B81EAC">
      <w:pPr>
        <w:pStyle w:val="Default"/>
        <w:spacing w:line="480" w:lineRule="auto"/>
        <w:jc w:val="both"/>
        <w:rPr>
          <w:rFonts w:ascii="Times New Roman" w:hAnsi="Times New Roman" w:cs="Times New Roman"/>
          <w:color w:val="auto"/>
          <w:lang w:val="en-US"/>
        </w:rPr>
      </w:pPr>
    </w:p>
    <w:p w14:paraId="00A80CAC" w14:textId="1A05234F" w:rsidR="000B7B1D" w:rsidRPr="000B7B1D" w:rsidRDefault="000B7B1D" w:rsidP="005170C6">
      <w:pPr>
        <w:pStyle w:val="Default"/>
        <w:spacing w:line="480" w:lineRule="auto"/>
        <w:jc w:val="both"/>
        <w:rPr>
          <w:rFonts w:ascii="Times New Roman" w:hAnsi="Times New Roman" w:cs="Times New Roman"/>
          <w:lang w:val="en-US"/>
        </w:rPr>
      </w:pPr>
      <w:r w:rsidRPr="000B7B1D">
        <w:rPr>
          <w:rFonts w:ascii="Times New Roman" w:hAnsi="Times New Roman" w:cs="Times New Roman"/>
          <w:b/>
          <w:bCs/>
          <w:lang w:val="en-US"/>
        </w:rPr>
        <w:t>Dextramer assay</w:t>
      </w:r>
      <w:r w:rsidRPr="000B7B1D">
        <w:rPr>
          <w:rFonts w:ascii="Times New Roman" w:hAnsi="Times New Roman" w:cs="Times New Roman"/>
          <w:lang w:val="en-US"/>
        </w:rPr>
        <w:t xml:space="preserve">—Dextramers were produced by </w:t>
      </w:r>
      <w:proofErr w:type="spellStart"/>
      <w:r w:rsidRPr="000B7B1D">
        <w:rPr>
          <w:rFonts w:ascii="Times New Roman" w:hAnsi="Times New Roman" w:cs="Times New Roman"/>
          <w:lang w:val="en-US"/>
        </w:rPr>
        <w:t>Immudex</w:t>
      </w:r>
      <w:proofErr w:type="spellEnd"/>
      <w:r w:rsidRPr="000B7B1D">
        <w:rPr>
          <w:rFonts w:ascii="Times New Roman" w:hAnsi="Times New Roman" w:cs="Times New Roman"/>
          <w:lang w:val="en-US"/>
        </w:rPr>
        <w:t>, Denmark. Each of the four immunodominant Dsg3-peptides, entailed in TPM203 (i.e., Dsg3</w:t>
      </w:r>
      <w:r w:rsidRPr="000B7B1D">
        <w:rPr>
          <w:rFonts w:ascii="Times New Roman" w:hAnsi="Times New Roman" w:cs="Times New Roman"/>
          <w:vertAlign w:val="subscript"/>
          <w:lang w:val="en-US"/>
        </w:rPr>
        <w:t>aa190-204</w:t>
      </w:r>
      <w:r w:rsidRPr="000B7B1D">
        <w:rPr>
          <w:rFonts w:ascii="Times New Roman" w:hAnsi="Times New Roman" w:cs="Times New Roman"/>
          <w:lang w:val="en-US"/>
        </w:rPr>
        <w:t>, Dsg3</w:t>
      </w:r>
      <w:r w:rsidRPr="000B7B1D">
        <w:rPr>
          <w:rFonts w:ascii="Times New Roman" w:hAnsi="Times New Roman" w:cs="Times New Roman"/>
          <w:vertAlign w:val="subscript"/>
          <w:lang w:val="en-US"/>
        </w:rPr>
        <w:t>aa206-220</w:t>
      </w:r>
      <w:r w:rsidRPr="000B7B1D">
        <w:rPr>
          <w:rFonts w:ascii="Times New Roman" w:hAnsi="Times New Roman" w:cs="Times New Roman"/>
          <w:lang w:val="en-US"/>
        </w:rPr>
        <w:t>, Dsg3</w:t>
      </w:r>
      <w:r w:rsidRPr="000B7B1D">
        <w:rPr>
          <w:rFonts w:ascii="Times New Roman" w:hAnsi="Times New Roman" w:cs="Times New Roman"/>
          <w:vertAlign w:val="subscript"/>
          <w:lang w:val="en-US"/>
        </w:rPr>
        <w:t>aa254-268</w:t>
      </w:r>
      <w:r w:rsidRPr="000B7B1D">
        <w:rPr>
          <w:rFonts w:ascii="Times New Roman" w:hAnsi="Times New Roman" w:cs="Times New Roman"/>
          <w:lang w:val="en-US"/>
        </w:rPr>
        <w:t xml:space="preserve"> and Dsg3</w:t>
      </w:r>
      <w:r w:rsidRPr="000B7B1D">
        <w:rPr>
          <w:rFonts w:ascii="Times New Roman" w:hAnsi="Times New Roman" w:cs="Times New Roman"/>
          <w:vertAlign w:val="subscript"/>
          <w:lang w:val="en-US"/>
        </w:rPr>
        <w:t>aa379-393</w:t>
      </w:r>
      <w:r w:rsidRPr="000B7B1D">
        <w:rPr>
          <w:rFonts w:ascii="Times New Roman" w:hAnsi="Times New Roman" w:cs="Times New Roman"/>
          <w:lang w:val="en-US"/>
        </w:rPr>
        <w:t xml:space="preserve">), was non-covalently coupled to PE-labelled HLA-DR*04:02-dextramers and used as single dextramer preparation as well as a pool of all four dextramers. For negative control, a non-antigen-specific peptide (so-called CLIP peptide) was coupled to HLA-DR*04:02-dextramers indicating non-specific binding. Cryopreserved PBMCs were thawed and cultivated </w:t>
      </w:r>
      <w:r w:rsidRPr="000B7B1D">
        <w:rPr>
          <w:rFonts w:ascii="Times New Roman" w:hAnsi="Times New Roman" w:cs="Times New Roman"/>
          <w:i/>
          <w:iCs/>
          <w:lang w:val="en-US"/>
        </w:rPr>
        <w:t>in vitro</w:t>
      </w:r>
      <w:r w:rsidRPr="000B7B1D">
        <w:rPr>
          <w:rFonts w:ascii="Times New Roman" w:hAnsi="Times New Roman" w:cs="Times New Roman"/>
          <w:lang w:val="en-US"/>
        </w:rPr>
        <w:t xml:space="preserve"> in presence of hDsg3 and IL-2 to expand Dsg3-specific T and B cells as recently described </w:t>
      </w:r>
      <w:sdt>
        <w:sdtPr>
          <w:rPr>
            <w:rFonts w:ascii="Times New Roman" w:hAnsi="Times New Roman" w:cs="Times New Roman"/>
            <w:vertAlign w:val="superscript"/>
            <w:lang w:val="en-US"/>
          </w:rPr>
          <w:tag w:val="MENDELEY_CITATION_v3_eyJjaXRhdGlvbklEIjoiTUVOREVMRVlfQ0lUQVRJT05fNTRmM2JmMmYtMTQwMy00YjA1LWE4Y2UtMjkwYTg1NGM3MWViIiwicHJvcGVydGllcyI6eyJub3RlSW5kZXgiOjB9LCJpc0VkaXRlZCI6ZmFsc2UsIm1hbnVhbE92ZXJyaWRlIjp7ImlzTWFudWFsbHlPdmVycmlkZGVuIjpmYWxzZSwiY2l0ZXByb2NUZXh0IjoiPHN1cD42PC9zdXA+IiwibWFudWFsT3ZlcnJpZGVUZXh0IjoiIn0sImNpdGF0aW9uSXRlbXMiOlt7ImlkIjoiNjgwNWExNTQtNjk2ZC0zNjQ0LWJjYjYtNjhkYjY4NWMxOWEzIiwiaXRlbURhdGEiOnsidHlwZSI6ImFydGljbGUtam91cm5hbCIsImlkIjoiNjgwNWExNTQtNjk2ZC0zNjQ0LWJjYjYtNjhkYjY4NWMxOWEzIiwidGl0bGUiOiJUeXBlIDIgVC1DZWxsIFJlc3BvbnNlcyBhZ2FpbnN0IERpc3RpbmN0IEVwaXRvcGVzIG9mIHRoZSBEZXNtb2dsZWluIDMgRWN0b2RvbWFpbiBpbiBQZW1waGlndXMgVnVsZ2FyaXMiLCJhdXRob3IiOlt7ImZhbWlseSI6IkRpZG9uYSIsImdpdmVuIjoiRGFyaW8iLCJwYXJzZS1uYW1lcyI6ZmFsc2UsImRyb3BwaW5nLXBhcnRpY2xlIjoiIiwibm9uLWRyb3BwaW5nLXBhcnRpY2xlIjoiIn0seyJmYW1pbHkiOiJTY2Fyc2VsbGEiLCJnaXZlbiI6Ikx1Y2EiLCJwYXJzZS1uYW1lcyI6ZmFsc2UsImRyb3BwaW5nLXBhcnRpY2xlIjoiIiwibm9uLWRyb3BwaW5nLXBhcnRpY2xlIjoiIn0seyJmYW1pbHkiOiJIdWRlbWFubiIsImdpdmVuIjoiQ2hyaXN0b3BoIiwicGFyc2UtbmFtZXMiOmZhbHNlLCJkcm9wcGluZy1wYXJ0aWNsZSI6IiIsIm5vbi1kcm9wcGluZy1wYXJ0aWNsZSI6IiJ9LHsiZmFtaWx5IjoiVm9sa21hbm4iLCJnaXZlbiI6Ikthcm9saW4iLCJwYXJzZS1uYW1lcyI6ZmFsc2UsImRyb3BwaW5nLXBhcnRpY2xlIjoiIiwibm9uLWRyb3BwaW5nLXBhcnRpY2xlIjoiIn0seyJmYW1pbHkiOiJaaW1tZXIiLCJnaXZlbiI6IkNocmlzdGluZSBMLiIsInBhcnNlLW5hbWVzIjpmYWxzZSwiZHJvcHBpbmctcGFydGljbGUiOiIiLCJub24tZHJvcHBpbmctcGFydGljbGUiOiIifSx7ImZhbWlseSI6IkJlY2tlcnQiLCJnaXZlbiI6IkJlbmVkaWt0IiwicGFyc2UtbmFtZXMiOmZhbHNlLCJkcm9wcGluZy1wYXJ0aWNsZSI6IiIsIm5vbi1kcm9wcGluZy1wYXJ0aWNsZSI6IiJ9LHsiZmFtaWx5IjoiVGlra2FuZW4iLCJnaXZlbiI6IlJpdHZhIiwicGFyc2UtbmFtZXMiOmZhbHNlLCJkcm9wcGluZy1wYXJ0aWNsZSI6IiIsIm5vbi1kcm9wcGluZy1wYXJ0aWNsZSI6IiJ9LHsiZmFtaWx5IjoiS29yZmYiLCJnaXZlbiI6IlZlcmEiLCJwYXJzZS1uYW1lcyI6ZmFsc2UsImRyb3BwaW5nLXBhcnRpY2xlIjoiIiwibm9uLWRyb3BwaW5nLXBhcnRpY2xlIjoiIn0seyJmYW1pbHkiOiJLw7xobiIsImdpdmVuIjoiS2F0amEiLCJwYXJzZS1uYW1lcyI6ZmFsc2UsImRyb3BwaW5nLXBhcnRpY2xlIjoiIiwibm9uLWRyb3BwaW5nLXBhcnRpY2xlIjoiIn0seyJmYW1pbHkiOiJXaWVuemVrLUxpc2Noa2EiLCJnaXZlbiI6IlNhbmRyYSIsInBhcnNlLW5hbWVzIjpmYWxzZSwiZHJvcHBpbmctcGFydGljbGUiOiIiLCJub24tZHJvcHBpbmctcGFydGljbGUiOiIifSx7ImZhbWlseSI6IkJlaW4iLCJnaXZlbiI6IkdyZWdvciIsInBhcnNlLW5hbWVzIjpmYWxzZSwiZHJvcHBpbmctcGFydGljbGUiOiIiLCJub24tZHJvcHBpbmctcGFydGljbGUiOiIifSx7ImZhbWlseSI6IlplbnpvIiwiZ2l2ZW4iOiJHaW92YW5uaSIsInBhcnNlLW5hbWVzIjpmYWxzZSwiZHJvcHBpbmctcGFydGljbGUiOiIiLCJub24tZHJvcHBpbmctcGFydGljbGUiOiJEaSJ9LHsiZmFtaWx5IjoiQsO2aG1lIiwiZ2l2ZW4iOiJKYXF1ZWxpbmUiLCJwYXJzZS1uYW1lcyI6ZmFsc2UsImRyb3BwaW5nLXBhcnRpY2xlIjoiIiwibm9uLWRyb3BwaW5nLXBhcnRpY2xlIjoiIn0seyJmYW1pbHkiOiJDdW5oYSIsImdpdmVuIjoiVG9tYXMiLCJwYXJzZS1uYW1lcyI6ZmFsc2UsImRyb3BwaW5nLXBhcnRpY2xlIjoiIiwibm9uLWRyb3BwaW5nLXBhcnRpY2xlIjoiIn0seyJmYW1pbHkiOiJTb2xpbWFuaSIsImdpdmVuIjoiRmFyemFuIiwicGFyc2UtbmFtZXMiOmZhbHNlLCJkcm9wcGluZy1wYXJ0aWNsZSI6IiIsIm5vbi1kcm9wcGluZy1wYXJ0aWNsZSI6IiJ9LHsiZmFtaWx5IjoiUGllcGVyIiwiZ2l2ZW4iOiJKb3NxdWluIiwicGFyc2UtbmFtZXMiOmZhbHNlLCJkcm9wcGluZy1wYXJ0aWNsZSI6IiIsIm5vbi1kcm9wcGluZy1wYXJ0aWNsZSI6IiJ9LHsiZmFtaWx5IjoiSnVyYXRsaSIsImdpdmVuIjoiSGF6ZW0gQS4iLCJwYXJzZS1uYW1lcyI6ZmFsc2UsImRyb3BwaW5nLXBhcnRpY2xlIjoiIiwibm9uLWRyb3BwaW5nLXBhcnRpY2xlIjoiIn0seyJmYW1pbHkiOiJHw7ZiZWwiLCJnaXZlbiI6Ik1hbnVlbCIsInBhcnNlLW5hbWVzIjpmYWxzZSwiZHJvcHBpbmctcGFydGljbGUiOiIiLCJub24tZHJvcHBpbmctcGFydGljbGUiOiIifSx7ImZhbWlseSI6IlNjaG1pZHQiLCJnaXZlbiI6IlRob21hcyIsInBhcnNlLW5hbWVzIjpmYWxzZSwiZHJvcHBpbmctcGFydGljbGUiOiIiLCJub24tZHJvcHBpbmctcGFydGljbGUiOiIifSx7ImZhbWlseSI6IkJvcnJhZG9yaSIsImdpdmVuIjoiTHVjYSIsInBhcnNlLW5hbWVzIjpmYWxzZSwiZHJvcHBpbmctcGFydGljbGUiOiIiLCJub24tZHJvcHBpbmctcGFydGljbGUiOiIifSx7ImZhbWlseSI6IllhemRpIiwiZ2l2ZW4iOiJBbWlyIFMuIiwicGFyc2UtbmFtZXMiOmZhbHNlLCJkcm9wcGluZy1wYXJ0aWNsZSI6IiIsIm5vbi1kcm9wcGluZy1wYXJ0aWNsZSI6IiJ9LHsiZmFtaWx5IjoiU2l0YXJ1IiwiZ2l2ZW4iOiJDYXNzaWFuIiwicGFyc2UtbmFtZXMiOmZhbHNlLCJkcm9wcGluZy1wYXJ0aWNsZSI6IiIsIm5vbi1kcm9wcGluZy1wYXJ0aWNsZSI6IiJ9LHsiZmFtaWx5IjoiR2FybiIsImdpdmVuIjoiSG9sZ2VyIiwicGFyc2UtbmFtZXMiOmZhbHNlLCJkcm9wcGluZy1wYXJ0aWNsZSI6IiIsIm5vbi1kcm9wcGluZy1wYXJ0aWNsZSI6IiJ9LHsiZmFtaWx5IjoiRW1pbmciLCJnaXZlbiI6IlLDvGRpZ2VyIiwicGFyc2UtbmFtZXMiOmZhbHNlLCJkcm9wcGluZy1wYXJ0aWNsZSI6IiIsIm5vbi1kcm9wcGluZy1wYXJ0aWNsZSI6IiJ9LHsiZmFtaWx5IjoiRmxlaXNjaGVyIiwiZ2l2ZW4iOiJTYWJpbmUiLCJwYXJzZS1uYW1lcyI6ZmFsc2UsImRyb3BwaW5nLXBhcnRpY2xlIjoiIiwibm9uLWRyb3BwaW5nLXBhcnRpY2xlIjoiIn0seyJmYW1pbHkiOiJIZXJ0bCIsImdpdmVuIjoiTWljaGFlbCIsInBhcnNlLW5hbWVzIjpmYWxzZSwiZHJvcHBpbmctcGFydGljbGUiOiIiLCJub24tZHJvcHBpbmctcGFydGljbGUiOiIifV0sImNvbnRhaW5lci10aXRsZSI6IkpvdXJuYWwgb2YgSW52ZXN0aWdhdGl2ZSBEZXJtYXRvbG9neSIsIkRPSSI6IjEwLjEwMTYvai5qaWQuMjAyMy4wNy4wMjUiLCJJU1NOIjoiMDAyMjIwMlgiLCJpc3N1ZWQiOnsiZGF0ZS1wYXJ0cyI6W1syMDI0LDJdXX0sInBhZ2UiOiIyNjMtMjcyLmU4IiwiaXNzdWUiOiIyIiwidm9sdW1lIjoiMTQ0IiwiY29udGFpbmVyLXRpdGxlLXNob3J0IjoiIn0sImlzVGVtcG9yYXJ5IjpmYWxzZX1dfQ=="/>
          <w:id w:val="-1687749601"/>
          <w:placeholder>
            <w:docPart w:val="DefaultPlaceholder_-1854013440"/>
          </w:placeholder>
        </w:sdtPr>
        <w:sdtEndPr/>
        <w:sdtContent>
          <w:r w:rsidRPr="000B7B1D">
            <w:rPr>
              <w:rFonts w:ascii="Times New Roman" w:hAnsi="Times New Roman" w:cs="Times New Roman"/>
              <w:vertAlign w:val="superscript"/>
              <w:lang w:val="en-US"/>
            </w:rPr>
            <w:t>6</w:t>
          </w:r>
        </w:sdtContent>
      </w:sdt>
      <w:r w:rsidRPr="000B7B1D">
        <w:rPr>
          <w:rFonts w:ascii="Times New Roman" w:hAnsi="Times New Roman" w:cs="Times New Roman"/>
          <w:lang w:val="en-US"/>
        </w:rPr>
        <w:t xml:space="preserve">. After 7 days, cells were stained with </w:t>
      </w:r>
      <w:proofErr w:type="spellStart"/>
      <w:r w:rsidRPr="000B7B1D">
        <w:rPr>
          <w:rFonts w:ascii="Times New Roman" w:hAnsi="Times New Roman" w:cs="Times New Roman"/>
          <w:lang w:val="en-US"/>
        </w:rPr>
        <w:t>fluorochrome</w:t>
      </w:r>
      <w:proofErr w:type="spellEnd"/>
      <w:r w:rsidRPr="000B7B1D">
        <w:rPr>
          <w:rFonts w:ascii="Times New Roman" w:hAnsi="Times New Roman" w:cs="Times New Roman"/>
          <w:lang w:val="en-US"/>
        </w:rPr>
        <w:t xml:space="preserve">-labeled Dsg3-peptide-specific </w:t>
      </w:r>
      <w:proofErr w:type="spellStart"/>
      <w:r w:rsidRPr="000B7B1D">
        <w:rPr>
          <w:rFonts w:ascii="Times New Roman" w:hAnsi="Times New Roman" w:cs="Times New Roman"/>
          <w:lang w:val="en-US"/>
        </w:rPr>
        <w:t>dextramers</w:t>
      </w:r>
      <w:proofErr w:type="spellEnd"/>
      <w:r w:rsidR="005170C6">
        <w:rPr>
          <w:rFonts w:ascii="Times New Roman" w:hAnsi="Times New Roman" w:cs="Times New Roman"/>
          <w:lang w:val="en-US"/>
        </w:rPr>
        <w:t>,</w:t>
      </w:r>
      <w:r w:rsidR="005A4A8A">
        <w:rPr>
          <w:rFonts w:ascii="Times New Roman" w:hAnsi="Times New Roman" w:cs="Times New Roman"/>
          <w:lang w:val="en-US"/>
        </w:rPr>
        <w:t xml:space="preserve"> </w:t>
      </w:r>
      <w:r w:rsidR="005A4A8A">
        <w:rPr>
          <w:rFonts w:ascii="Times New Roman" w:hAnsi="Times New Roman" w:cs="Times New Roman"/>
        </w:rPr>
        <w:t>CD45</w:t>
      </w:r>
      <w:r w:rsidR="005A4A8A" w:rsidRPr="000B7B1D">
        <w:rPr>
          <w:rFonts w:ascii="Times New Roman" w:hAnsi="Times New Roman" w:cs="Times New Roman"/>
        </w:rPr>
        <w:t>-AF700 (2D1),</w:t>
      </w:r>
      <w:r w:rsidR="005A4A8A">
        <w:rPr>
          <w:rFonts w:ascii="Times New Roman" w:hAnsi="Times New Roman" w:cs="Times New Roman"/>
        </w:rPr>
        <w:t xml:space="preserve"> </w:t>
      </w:r>
      <w:r w:rsidR="005A4A8A" w:rsidRPr="000B7B1D">
        <w:rPr>
          <w:rFonts w:ascii="Times New Roman" w:hAnsi="Times New Roman" w:cs="Times New Roman"/>
        </w:rPr>
        <w:t>CD3-PerCP-Cy5.5 (SK7), CD19-FITC (HIB19)</w:t>
      </w:r>
      <w:r w:rsidR="005A4A8A">
        <w:rPr>
          <w:rFonts w:ascii="Times New Roman" w:hAnsi="Times New Roman" w:cs="Times New Roman"/>
        </w:rPr>
        <w:t xml:space="preserve">, CD14-APC </w:t>
      </w:r>
      <w:r w:rsidR="00F742FB">
        <w:rPr>
          <w:rFonts w:ascii="Times New Roman" w:hAnsi="Times New Roman" w:cs="Times New Roman"/>
        </w:rPr>
        <w:t>(</w:t>
      </w:r>
      <w:r w:rsidR="005170C6" w:rsidRPr="005170C6">
        <w:rPr>
          <w:rFonts w:ascii="Times New Roman" w:hAnsi="Times New Roman" w:cs="Times New Roman"/>
        </w:rPr>
        <w:t>HCD14</w:t>
      </w:r>
      <w:r w:rsidR="00F742FB">
        <w:rPr>
          <w:rFonts w:ascii="Times New Roman" w:hAnsi="Times New Roman" w:cs="Times New Roman"/>
        </w:rPr>
        <w:t>)</w:t>
      </w:r>
      <w:r w:rsidR="005170C6">
        <w:rPr>
          <w:rFonts w:ascii="Times New Roman" w:hAnsi="Times New Roman" w:cs="Times New Roman"/>
        </w:rPr>
        <w:t>,</w:t>
      </w:r>
      <w:r w:rsidR="00F742FB">
        <w:rPr>
          <w:rFonts w:ascii="Times New Roman" w:hAnsi="Times New Roman" w:cs="Times New Roman"/>
        </w:rPr>
        <w:t xml:space="preserve"> </w:t>
      </w:r>
      <w:r w:rsidR="005A4A8A">
        <w:rPr>
          <w:rFonts w:ascii="Times New Roman" w:hAnsi="Times New Roman" w:cs="Times New Roman"/>
        </w:rPr>
        <w:t xml:space="preserve">and CD4-BV510 (RPA-T4; </w:t>
      </w:r>
      <w:r w:rsidR="005A4A8A" w:rsidRPr="000B7B1D">
        <w:rPr>
          <w:rFonts w:ascii="Times New Roman" w:hAnsi="Times New Roman" w:cs="Times New Roman"/>
        </w:rPr>
        <w:t xml:space="preserve">all manufactured by </w:t>
      </w:r>
      <w:proofErr w:type="spellStart"/>
      <w:r w:rsidR="005A4A8A" w:rsidRPr="000B7B1D">
        <w:rPr>
          <w:rFonts w:ascii="Times New Roman" w:hAnsi="Times New Roman" w:cs="Times New Roman"/>
        </w:rPr>
        <w:t>BioLegend</w:t>
      </w:r>
      <w:proofErr w:type="spellEnd"/>
      <w:r w:rsidR="005A4A8A" w:rsidRPr="000B7B1D">
        <w:rPr>
          <w:rFonts w:ascii="Times New Roman" w:hAnsi="Times New Roman" w:cs="Times New Roman"/>
        </w:rPr>
        <w:t>, San Diego, USA</w:t>
      </w:r>
      <w:r w:rsidR="005A4A8A">
        <w:rPr>
          <w:rFonts w:ascii="Times New Roman" w:hAnsi="Times New Roman" w:cs="Times New Roman"/>
        </w:rPr>
        <w:t xml:space="preserve">) </w:t>
      </w:r>
      <w:r w:rsidRPr="000B7B1D">
        <w:rPr>
          <w:rFonts w:ascii="Times New Roman" w:hAnsi="Times New Roman" w:cs="Times New Roman"/>
          <w:lang w:val="en-US"/>
        </w:rPr>
        <w:t xml:space="preserve">for phenotypic characterization by flow cytometry. </w:t>
      </w:r>
      <w:proofErr w:type="spellStart"/>
      <w:r w:rsidRPr="000B7B1D">
        <w:rPr>
          <w:rFonts w:ascii="Times New Roman" w:hAnsi="Times New Roman" w:cs="Times New Roman"/>
          <w:lang w:val="en-US"/>
        </w:rPr>
        <w:t>Dextramer</w:t>
      </w:r>
      <w:proofErr w:type="spellEnd"/>
      <w:r w:rsidRPr="000B7B1D">
        <w:rPr>
          <w:rFonts w:ascii="Times New Roman" w:hAnsi="Times New Roman" w:cs="Times New Roman"/>
          <w:lang w:val="en-US"/>
        </w:rPr>
        <w:t>-positive cells were determined as % of CD45</w:t>
      </w:r>
      <w:r w:rsidRPr="000B7B1D">
        <w:rPr>
          <w:rFonts w:ascii="Times New Roman" w:hAnsi="Times New Roman" w:cs="Times New Roman"/>
          <w:vertAlign w:val="superscript"/>
          <w:lang w:val="en-US"/>
        </w:rPr>
        <w:t>+</w:t>
      </w:r>
      <w:r w:rsidRPr="000B7B1D">
        <w:rPr>
          <w:rFonts w:ascii="Times New Roman" w:hAnsi="Times New Roman" w:cs="Times New Roman"/>
          <w:lang w:val="en-US"/>
        </w:rPr>
        <w:t>CD3</w:t>
      </w:r>
      <w:r w:rsidRPr="000B7B1D">
        <w:rPr>
          <w:rFonts w:ascii="Times New Roman" w:hAnsi="Times New Roman" w:cs="Times New Roman"/>
          <w:vertAlign w:val="superscript"/>
          <w:lang w:val="en-US"/>
        </w:rPr>
        <w:t>+</w:t>
      </w:r>
      <w:r w:rsidRPr="000B7B1D">
        <w:rPr>
          <w:rFonts w:ascii="Times New Roman" w:hAnsi="Times New Roman" w:cs="Times New Roman"/>
          <w:lang w:val="en-US"/>
        </w:rPr>
        <w:t>CD19</w:t>
      </w:r>
      <w:r w:rsidRPr="000B7B1D">
        <w:rPr>
          <w:rFonts w:ascii="Times New Roman" w:hAnsi="Times New Roman" w:cs="Times New Roman"/>
          <w:vertAlign w:val="superscript"/>
          <w:lang w:val="en-US"/>
        </w:rPr>
        <w:t>-</w:t>
      </w:r>
      <w:r w:rsidRPr="000B7B1D">
        <w:rPr>
          <w:rFonts w:ascii="Times New Roman" w:hAnsi="Times New Roman" w:cs="Times New Roman"/>
          <w:lang w:val="en-US"/>
        </w:rPr>
        <w:t>CD14</w:t>
      </w:r>
      <w:r w:rsidRPr="000B7B1D">
        <w:rPr>
          <w:rFonts w:ascii="Times New Roman" w:hAnsi="Times New Roman" w:cs="Times New Roman"/>
          <w:vertAlign w:val="superscript"/>
          <w:lang w:val="en-US"/>
        </w:rPr>
        <w:t>-</w:t>
      </w:r>
      <w:r w:rsidRPr="000B7B1D">
        <w:rPr>
          <w:rFonts w:ascii="Times New Roman" w:hAnsi="Times New Roman" w:cs="Times New Roman"/>
          <w:lang w:val="en-US"/>
        </w:rPr>
        <w:t>CD4</w:t>
      </w:r>
      <w:r w:rsidRPr="000B7B1D">
        <w:rPr>
          <w:rFonts w:ascii="Times New Roman" w:hAnsi="Times New Roman" w:cs="Times New Roman"/>
          <w:vertAlign w:val="superscript"/>
          <w:lang w:val="en-US"/>
        </w:rPr>
        <w:t>+</w:t>
      </w:r>
      <w:r w:rsidRPr="000B7B1D">
        <w:rPr>
          <w:rFonts w:ascii="Times New Roman" w:hAnsi="Times New Roman" w:cs="Times New Roman"/>
          <w:lang w:val="en-US"/>
        </w:rPr>
        <w:t xml:space="preserve"> T cells after subtracting staining event numbers of CLIP controls.</w:t>
      </w:r>
    </w:p>
    <w:p w14:paraId="49FAE0D3" w14:textId="77777777" w:rsidR="000B7B1D" w:rsidRPr="000B7B1D" w:rsidRDefault="000B7B1D" w:rsidP="00B81EAC">
      <w:pPr>
        <w:pStyle w:val="Default"/>
        <w:spacing w:line="480" w:lineRule="auto"/>
        <w:jc w:val="both"/>
        <w:rPr>
          <w:rFonts w:ascii="Times New Roman" w:hAnsi="Times New Roman" w:cs="Times New Roman"/>
          <w:color w:val="auto"/>
          <w:lang w:val="en-US"/>
        </w:rPr>
      </w:pPr>
    </w:p>
    <w:p w14:paraId="388FDD4A" w14:textId="17FB7928" w:rsidR="000B7B1D" w:rsidRPr="000B7B1D" w:rsidRDefault="000B7B1D" w:rsidP="00B81EAC">
      <w:pPr>
        <w:pStyle w:val="Default"/>
        <w:spacing w:line="480" w:lineRule="auto"/>
        <w:contextualSpacing/>
        <w:jc w:val="both"/>
        <w:rPr>
          <w:rFonts w:ascii="Times New Roman" w:hAnsi="Times New Roman" w:cs="Times New Roman"/>
          <w:lang w:val="en-US"/>
        </w:rPr>
      </w:pPr>
      <w:r w:rsidRPr="000B7B1D">
        <w:rPr>
          <w:rFonts w:ascii="Times New Roman" w:hAnsi="Times New Roman" w:cs="Times New Roman"/>
          <w:b/>
          <w:bCs/>
          <w:lang w:val="en-US"/>
        </w:rPr>
        <w:t>ELISpot assay</w:t>
      </w:r>
      <w:r w:rsidRPr="000B7B1D">
        <w:rPr>
          <w:rFonts w:ascii="Times New Roman" w:hAnsi="Times New Roman" w:cs="Times New Roman"/>
          <w:lang w:val="en-US"/>
        </w:rPr>
        <w:t>—For analysis of the Dsg3-specific CD4</w:t>
      </w:r>
      <w:r w:rsidRPr="000B7B1D">
        <w:rPr>
          <w:rFonts w:ascii="Times New Roman" w:hAnsi="Times New Roman" w:cs="Times New Roman"/>
          <w:vertAlign w:val="superscript"/>
          <w:lang w:val="en-US"/>
        </w:rPr>
        <w:t>+</w:t>
      </w:r>
      <w:r w:rsidRPr="000B7B1D">
        <w:rPr>
          <w:rFonts w:ascii="Times New Roman" w:hAnsi="Times New Roman" w:cs="Times New Roman"/>
          <w:lang w:val="en-US"/>
        </w:rPr>
        <w:t xml:space="preserve"> T cell cytokine profile, cryopreserved PBMC samples were thawed and stimulated </w:t>
      </w:r>
      <w:r w:rsidRPr="000B7B1D">
        <w:rPr>
          <w:rFonts w:ascii="Times New Roman" w:hAnsi="Times New Roman" w:cs="Times New Roman"/>
          <w:i/>
          <w:lang w:val="en-US"/>
        </w:rPr>
        <w:t>in vitro</w:t>
      </w:r>
      <w:r w:rsidRPr="000B7B1D">
        <w:rPr>
          <w:rFonts w:ascii="Times New Roman" w:hAnsi="Times New Roman" w:cs="Times New Roman"/>
          <w:lang w:val="en-US"/>
        </w:rPr>
        <w:t xml:space="preserve"> with rhDsg3 in the presence of IL-2 </w:t>
      </w:r>
      <w:r w:rsidRPr="000B7B1D">
        <w:rPr>
          <w:rFonts w:ascii="Times New Roman" w:eastAsia="Batang" w:hAnsi="Times New Roman" w:cs="Times New Roman"/>
          <w:lang w:val="en-US" w:eastAsia="ko-KR"/>
        </w:rPr>
        <w:t xml:space="preserve">(10 U/mL; Roche, Mannheim, Germany) and IL-7 (10 ng/mL; </w:t>
      </w:r>
      <w:proofErr w:type="spellStart"/>
      <w:r w:rsidRPr="000B7B1D">
        <w:rPr>
          <w:rFonts w:ascii="Times New Roman" w:eastAsia="Batang" w:hAnsi="Times New Roman" w:cs="Times New Roman"/>
          <w:lang w:val="en-US" w:eastAsia="ko-KR"/>
        </w:rPr>
        <w:t>Miltenyi</w:t>
      </w:r>
      <w:proofErr w:type="spellEnd"/>
      <w:r w:rsidRPr="000B7B1D">
        <w:rPr>
          <w:rFonts w:ascii="Times New Roman" w:eastAsia="Batang" w:hAnsi="Times New Roman" w:cs="Times New Roman"/>
          <w:lang w:val="en-US" w:eastAsia="ko-KR"/>
        </w:rPr>
        <w:t xml:space="preserve"> Biotech, </w:t>
      </w:r>
      <w:proofErr w:type="spellStart"/>
      <w:r w:rsidRPr="000B7B1D">
        <w:rPr>
          <w:rFonts w:ascii="Times New Roman" w:eastAsia="Batang" w:hAnsi="Times New Roman" w:cs="Times New Roman"/>
          <w:lang w:val="en-US" w:eastAsia="ko-KR"/>
        </w:rPr>
        <w:t>Bergisch</w:t>
      </w:r>
      <w:proofErr w:type="spellEnd"/>
      <w:r w:rsidRPr="000B7B1D">
        <w:rPr>
          <w:rFonts w:ascii="Times New Roman" w:eastAsia="Batang" w:hAnsi="Times New Roman" w:cs="Times New Roman"/>
          <w:lang w:val="en-US" w:eastAsia="ko-KR"/>
        </w:rPr>
        <w:t xml:space="preserve"> </w:t>
      </w:r>
      <w:proofErr w:type="spellStart"/>
      <w:r w:rsidRPr="000B7B1D">
        <w:rPr>
          <w:rFonts w:ascii="Times New Roman" w:eastAsia="Batang" w:hAnsi="Times New Roman" w:cs="Times New Roman"/>
          <w:lang w:val="en-US" w:eastAsia="ko-KR"/>
        </w:rPr>
        <w:t>Gladbach</w:t>
      </w:r>
      <w:proofErr w:type="spellEnd"/>
      <w:r w:rsidRPr="000B7B1D">
        <w:rPr>
          <w:rFonts w:ascii="Times New Roman" w:eastAsia="Batang" w:hAnsi="Times New Roman" w:cs="Times New Roman"/>
          <w:lang w:val="en-US" w:eastAsia="ko-KR"/>
        </w:rPr>
        <w:t>, Germany) as recently published</w:t>
      </w:r>
      <w:sdt>
        <w:sdtPr>
          <w:rPr>
            <w:rFonts w:ascii="Times New Roman" w:eastAsia="Batang" w:hAnsi="Times New Roman" w:cs="Times New Roman"/>
            <w:vertAlign w:val="superscript"/>
            <w:lang w:val="en-US" w:eastAsia="ko-KR"/>
          </w:rPr>
          <w:tag w:val="MENDELEY_CITATION_v3_eyJjaXRhdGlvbklEIjoiTUVOREVMRVlfQ0lUQVRJT05fM2RiMjdjZmMtOTg4Zi00Njc3LThkODUtMzgwMmU0Nzc3NWRjIiwicHJvcGVydGllcyI6eyJub3RlSW5kZXgiOjB9LCJpc0VkaXRlZCI6ZmFsc2UsIm1hbnVhbE92ZXJyaWRlIjp7ImlzTWFudWFsbHlPdmVycmlkZGVuIjpmYWxzZSwiY2l0ZXByb2NUZXh0IjoiPHN1cD42PC9zdXA+IiwibWFudWFsT3ZlcnJpZGVUZXh0IjoiIn0sImNpdGF0aW9uSXRlbXMiOlt7ImlkIjoiNjgwNWExNTQtNjk2ZC0zNjQ0LWJjYjYtNjhkYjY4NWMxOWEzIiwiaXRlbURhdGEiOnsidHlwZSI6ImFydGljbGUtam91cm5hbCIsImlkIjoiNjgwNWExNTQtNjk2ZC0zNjQ0LWJjYjYtNjhkYjY4NWMxOWEzIiwidGl0bGUiOiJUeXBlIDIgVC1DZWxsIFJlc3BvbnNlcyBhZ2FpbnN0IERpc3RpbmN0IEVwaXRvcGVzIG9mIHRoZSBEZXNtb2dsZWluIDMgRWN0b2RvbWFpbiBpbiBQZW1waGlndXMgVnVsZ2FyaXMiLCJhdXRob3IiOlt7ImZhbWlseSI6IkRpZG9uYSIsImdpdmVuIjoiRGFyaW8iLCJwYXJzZS1uYW1lcyI6ZmFsc2UsImRyb3BwaW5nLXBhcnRpY2xlIjoiIiwibm9uLWRyb3BwaW5nLXBhcnRpY2xlIjoiIn0seyJmYW1pbHkiOiJTY2Fyc2VsbGEiLCJnaXZlbiI6Ikx1Y2EiLCJwYXJzZS1uYW1lcyI6ZmFsc2UsImRyb3BwaW5nLXBhcnRpY2xlIjoiIiwibm9uLWRyb3BwaW5nLXBhcnRpY2xlIjoiIn0seyJmYW1pbHkiOiJIdWRlbWFubiIsImdpdmVuIjoiQ2hyaXN0b3BoIiwicGFyc2UtbmFtZXMiOmZhbHNlLCJkcm9wcGluZy1wYXJ0aWNsZSI6IiIsIm5vbi1kcm9wcGluZy1wYXJ0aWNsZSI6IiJ9LHsiZmFtaWx5IjoiVm9sa21hbm4iLCJnaXZlbiI6Ikthcm9saW4iLCJwYXJzZS1uYW1lcyI6ZmFsc2UsImRyb3BwaW5nLXBhcnRpY2xlIjoiIiwibm9uLWRyb3BwaW5nLXBhcnRpY2xlIjoiIn0seyJmYW1pbHkiOiJaaW1tZXIiLCJnaXZlbiI6IkNocmlzdGluZSBMLiIsInBhcnNlLW5hbWVzIjpmYWxzZSwiZHJvcHBpbmctcGFydGljbGUiOiIiLCJub24tZHJvcHBpbmctcGFydGljbGUiOiIifSx7ImZhbWlseSI6IkJlY2tlcnQiLCJnaXZlbiI6IkJlbmVkaWt0IiwicGFyc2UtbmFtZXMiOmZhbHNlLCJkcm9wcGluZy1wYXJ0aWNsZSI6IiIsIm5vbi1kcm9wcGluZy1wYXJ0aWNsZSI6IiJ9LHsiZmFtaWx5IjoiVGlra2FuZW4iLCJnaXZlbiI6IlJpdHZhIiwicGFyc2UtbmFtZXMiOmZhbHNlLCJkcm9wcGluZy1wYXJ0aWNsZSI6IiIsIm5vbi1kcm9wcGluZy1wYXJ0aWNsZSI6IiJ9LHsiZmFtaWx5IjoiS29yZmYiLCJnaXZlbiI6IlZlcmEiLCJwYXJzZS1uYW1lcyI6ZmFsc2UsImRyb3BwaW5nLXBhcnRpY2xlIjoiIiwibm9uLWRyb3BwaW5nLXBhcnRpY2xlIjoiIn0seyJmYW1pbHkiOiJLw7xobiIsImdpdmVuIjoiS2F0amEiLCJwYXJzZS1uYW1lcyI6ZmFsc2UsImRyb3BwaW5nLXBhcnRpY2xlIjoiIiwibm9uLWRyb3BwaW5nLXBhcnRpY2xlIjoiIn0seyJmYW1pbHkiOiJXaWVuemVrLUxpc2Noa2EiLCJnaXZlbiI6IlNhbmRyYSIsInBhcnNlLW5hbWVzIjpmYWxzZSwiZHJvcHBpbmctcGFydGljbGUiOiIiLCJub24tZHJvcHBpbmctcGFydGljbGUiOiIifSx7ImZhbWlseSI6IkJlaW4iLCJnaXZlbiI6IkdyZWdvciIsInBhcnNlLW5hbWVzIjpmYWxzZSwiZHJvcHBpbmctcGFydGljbGUiOiIiLCJub24tZHJvcHBpbmctcGFydGljbGUiOiIifSx7ImZhbWlseSI6IlplbnpvIiwiZ2l2ZW4iOiJHaW92YW5uaSIsInBhcnNlLW5hbWVzIjpmYWxzZSwiZHJvcHBpbmctcGFydGljbGUiOiIiLCJub24tZHJvcHBpbmctcGFydGljbGUiOiJEaSJ9LHsiZmFtaWx5IjoiQsO2aG1lIiwiZ2l2ZW4iOiJKYXF1ZWxpbmUiLCJwYXJzZS1uYW1lcyI6ZmFsc2UsImRyb3BwaW5nLXBhcnRpY2xlIjoiIiwibm9uLWRyb3BwaW5nLXBhcnRpY2xlIjoiIn0seyJmYW1pbHkiOiJDdW5oYSIsImdpdmVuIjoiVG9tYXMiLCJwYXJzZS1uYW1lcyI6ZmFsc2UsImRyb3BwaW5nLXBhcnRpY2xlIjoiIiwibm9uLWRyb3BwaW5nLXBhcnRpY2xlIjoiIn0seyJmYW1pbHkiOiJTb2xpbWFuaSIsImdpdmVuIjoiRmFyemFuIiwicGFyc2UtbmFtZXMiOmZhbHNlLCJkcm9wcGluZy1wYXJ0aWNsZSI6IiIsIm5vbi1kcm9wcGluZy1wYXJ0aWNsZSI6IiJ9LHsiZmFtaWx5IjoiUGllcGVyIiwiZ2l2ZW4iOiJKb3NxdWluIiwicGFyc2UtbmFtZXMiOmZhbHNlLCJkcm9wcGluZy1wYXJ0aWNsZSI6IiIsIm5vbi1kcm9wcGluZy1wYXJ0aWNsZSI6IiJ9LHsiZmFtaWx5IjoiSnVyYXRsaSIsImdpdmVuIjoiSGF6ZW0gQS4iLCJwYXJzZS1uYW1lcyI6ZmFsc2UsImRyb3BwaW5nLXBhcnRpY2xlIjoiIiwibm9uLWRyb3BwaW5nLXBhcnRpY2xlIjoiIn0seyJmYW1pbHkiOiJHw7ZiZWwiLCJnaXZlbiI6Ik1hbnVlbCIsInBhcnNlLW5hbWVzIjpmYWxzZSwiZHJvcHBpbmctcGFydGljbGUiOiIiLCJub24tZHJvcHBpbmctcGFydGljbGUiOiIifSx7ImZhbWlseSI6IlNjaG1pZHQiLCJnaXZlbiI6IlRob21hcyIsInBhcnNlLW5hbWVzIjpmYWxzZSwiZHJvcHBpbmctcGFydGljbGUiOiIiLCJub24tZHJvcHBpbmctcGFydGljbGUiOiIifSx7ImZhbWlseSI6IkJvcnJhZG9yaSIsImdpdmVuIjoiTHVjYSIsInBhcnNlLW5hbWVzIjpmYWxzZSwiZHJvcHBpbmctcGFydGljbGUiOiIiLCJub24tZHJvcHBpbmctcGFydGljbGUiOiIifSx7ImZhbWlseSI6IllhemRpIiwiZ2l2ZW4iOiJBbWlyIFMuIiwicGFyc2UtbmFtZXMiOmZhbHNlLCJkcm9wcGluZy1wYXJ0aWNsZSI6IiIsIm5vbi1kcm9wcGluZy1wYXJ0aWNsZSI6IiJ9LHsiZmFtaWx5IjoiU2l0YXJ1IiwiZ2l2ZW4iOiJDYXNzaWFuIiwicGFyc2UtbmFtZXMiOmZhbHNlLCJkcm9wcGluZy1wYXJ0aWNsZSI6IiIsIm5vbi1kcm9wcGluZy1wYXJ0aWNsZSI6IiJ9LHsiZmFtaWx5IjoiR2FybiIsImdpdmVuIjoiSG9sZ2VyIiwicGFyc2UtbmFtZXMiOmZhbHNlLCJkcm9wcGluZy1wYXJ0aWNsZSI6IiIsIm5vbi1kcm9wcGluZy1wYXJ0aWNsZSI6IiJ9LHsiZmFtaWx5IjoiRW1pbmciLCJnaXZlbiI6IlLDvGRpZ2VyIiwicGFyc2UtbmFtZXMiOmZhbHNlLCJkcm9wcGluZy1wYXJ0aWNsZSI6IiIsIm5vbi1kcm9wcGluZy1wYXJ0aWNsZSI6IiJ9LHsiZmFtaWx5IjoiRmxlaXNjaGVyIiwiZ2l2ZW4iOiJTYWJpbmUiLCJwYXJzZS1uYW1lcyI6ZmFsc2UsImRyb3BwaW5nLXBhcnRpY2xlIjoiIiwibm9uLWRyb3BwaW5nLXBhcnRpY2xlIjoiIn0seyJmYW1pbHkiOiJIZXJ0bCIsImdpdmVuIjoiTWljaGFlbCIsInBhcnNlLW5hbWVzIjpmYWxzZSwiZHJvcHBpbmctcGFydGljbGUiOiIiLCJub24tZHJvcHBpbmctcGFydGljbGUiOiIifV0sImNvbnRhaW5lci10aXRsZSI6IkpvdXJuYWwgb2YgSW52ZXN0aWdhdGl2ZSBEZXJtYXRvbG9neSIsIkRPSSI6IjEwLjEwMTYvai5qaWQuMjAyMy4wNy4wMjUiLCJJU1NOIjoiMDAyMjIwMlgiLCJpc3N1ZWQiOnsiZGF0ZS1wYXJ0cyI6W1syMDI0LDJdXX0sInBhZ2UiOiIyNjMtMjcyLmU4IiwiaXNzdWUiOiIyIiwidm9sdW1lIjoiMTQ0IiwiY29udGFpbmVyLXRpdGxlLXNob3J0IjoiIn0sImlzVGVtcG9yYXJ5IjpmYWxzZX1dfQ=="/>
          <w:id w:val="1643306567"/>
          <w:placeholder>
            <w:docPart w:val="DefaultPlaceholder_-1854013440"/>
          </w:placeholder>
        </w:sdtPr>
        <w:sdtEndPr/>
        <w:sdtContent>
          <w:r w:rsidRPr="000B7B1D">
            <w:rPr>
              <w:rFonts w:ascii="Times New Roman" w:eastAsia="Batang" w:hAnsi="Times New Roman" w:cs="Times New Roman"/>
              <w:vertAlign w:val="superscript"/>
              <w:lang w:val="en-US" w:eastAsia="ko-KR"/>
            </w:rPr>
            <w:t xml:space="preserve"> 6</w:t>
          </w:r>
        </w:sdtContent>
      </w:sdt>
      <w:r w:rsidRPr="000B7B1D">
        <w:rPr>
          <w:rFonts w:ascii="Times New Roman" w:hAnsi="Times New Roman" w:cs="Times New Roman"/>
          <w:lang w:val="en-US"/>
        </w:rPr>
        <w:t xml:space="preserve">. After seven days, the stimulated cells were transferred to ELISpot plates coated with monoclonal antibodies directed against the cytokines IFN-γ, IL-5, and IL-10, respectively. Individual cytokine-producing cells were visualized as red spots on the ELISpot plate—per 100.000 cells for IFN-γ and per 200.000 cells for IL-5 and IL-10. The spots were counted using a software-based photo-scanning device </w:t>
      </w:r>
      <w:r w:rsidRPr="000B7B1D">
        <w:rPr>
          <w:rFonts w:ascii="Times New Roman" w:eastAsia="Batang" w:hAnsi="Times New Roman" w:cs="Times New Roman"/>
          <w:lang w:val="en-US" w:eastAsia="ko-KR"/>
        </w:rPr>
        <w:t xml:space="preserve">(A.EL.VIS, Hannover, Germany) </w:t>
      </w:r>
      <w:r w:rsidRPr="000B7B1D">
        <w:rPr>
          <w:rFonts w:ascii="Times New Roman" w:hAnsi="Times New Roman" w:cs="Times New Roman"/>
          <w:lang w:val="en-US"/>
        </w:rPr>
        <w:t>in comparison with positive (PHA stimulation) and negative (unstimulated cells) controls.</w:t>
      </w:r>
    </w:p>
    <w:p w14:paraId="02292EA3" w14:textId="77777777" w:rsidR="000B7B1D" w:rsidRPr="000B7B1D" w:rsidRDefault="000B7B1D" w:rsidP="00B81EAC">
      <w:pPr>
        <w:pStyle w:val="Default"/>
        <w:spacing w:line="480" w:lineRule="auto"/>
        <w:contextualSpacing/>
        <w:jc w:val="both"/>
        <w:rPr>
          <w:rFonts w:ascii="Times New Roman" w:hAnsi="Times New Roman" w:cs="Times New Roman"/>
          <w:lang w:val="en-US"/>
        </w:rPr>
      </w:pPr>
    </w:p>
    <w:p w14:paraId="07CB59A0" w14:textId="376430E7" w:rsidR="005A4A8A" w:rsidRDefault="000B7B1D" w:rsidP="00B81EAC">
      <w:pPr>
        <w:spacing w:after="0" w:line="480" w:lineRule="auto"/>
        <w:jc w:val="both"/>
        <w:rPr>
          <w:rFonts w:ascii="Times New Roman" w:hAnsi="Times New Roman" w:cs="Times New Roman"/>
          <w:sz w:val="24"/>
          <w:szCs w:val="24"/>
        </w:rPr>
      </w:pPr>
      <w:r w:rsidRPr="000B7B1D">
        <w:rPr>
          <w:rFonts w:ascii="Times New Roman" w:hAnsi="Times New Roman" w:cs="Times New Roman"/>
          <w:b/>
          <w:bCs/>
          <w:sz w:val="24"/>
          <w:szCs w:val="24"/>
        </w:rPr>
        <w:t>Flow cytometry</w:t>
      </w:r>
      <w:r w:rsidRPr="000B7B1D">
        <w:rPr>
          <w:rFonts w:ascii="Times New Roman" w:hAnsi="Times New Roman" w:cs="Times New Roman"/>
          <w:sz w:val="24"/>
          <w:szCs w:val="24"/>
        </w:rPr>
        <w:t xml:space="preserve">—Data were acquired on the LSRII </w:t>
      </w:r>
      <w:proofErr w:type="spellStart"/>
      <w:r w:rsidRPr="000B7B1D">
        <w:rPr>
          <w:rFonts w:ascii="Times New Roman" w:hAnsi="Times New Roman" w:cs="Times New Roman"/>
          <w:sz w:val="24"/>
          <w:szCs w:val="24"/>
        </w:rPr>
        <w:t>Fortessa</w:t>
      </w:r>
      <w:proofErr w:type="spellEnd"/>
      <w:r w:rsidRPr="000B7B1D">
        <w:rPr>
          <w:rFonts w:ascii="Times New Roman" w:hAnsi="Times New Roman" w:cs="Times New Roman"/>
          <w:sz w:val="24"/>
          <w:szCs w:val="24"/>
        </w:rPr>
        <w:t xml:space="preserve"> flow cytometer (BD Biosciences) and analyzed using </w:t>
      </w:r>
      <w:proofErr w:type="spellStart"/>
      <w:r w:rsidRPr="000B7B1D">
        <w:rPr>
          <w:rFonts w:ascii="Times New Roman" w:hAnsi="Times New Roman" w:cs="Times New Roman"/>
          <w:sz w:val="24"/>
          <w:szCs w:val="24"/>
        </w:rPr>
        <w:t>FlowJo</w:t>
      </w:r>
      <w:proofErr w:type="spellEnd"/>
      <w:r w:rsidRPr="000B7B1D">
        <w:rPr>
          <w:rFonts w:ascii="Times New Roman" w:hAnsi="Times New Roman" w:cs="Times New Roman"/>
          <w:sz w:val="24"/>
          <w:szCs w:val="24"/>
        </w:rPr>
        <w:t xml:space="preserve"> version 10.8 (Tree Star). For murine studies, spleens were subjected to single-cell purification in complete RPMI 1640 medium (Capricorn Scientific, </w:t>
      </w:r>
      <w:proofErr w:type="spellStart"/>
      <w:r w:rsidRPr="000B7B1D">
        <w:rPr>
          <w:rFonts w:ascii="Times New Roman" w:hAnsi="Times New Roman" w:cs="Times New Roman"/>
          <w:sz w:val="24"/>
          <w:szCs w:val="24"/>
        </w:rPr>
        <w:t>Ebsdorfergrund</w:t>
      </w:r>
      <w:proofErr w:type="spellEnd"/>
      <w:r w:rsidRPr="000B7B1D">
        <w:rPr>
          <w:rFonts w:ascii="Times New Roman" w:hAnsi="Times New Roman" w:cs="Times New Roman"/>
          <w:sz w:val="24"/>
          <w:szCs w:val="24"/>
        </w:rPr>
        <w:t>, Germany) containing 10% fetal bovine serum (Sigma-Aldrich, St. Louis, MO, USA) using stepwise filtration through a 100 µm and 30 µm cell strainer (</w:t>
      </w:r>
      <w:proofErr w:type="spellStart"/>
      <w:r w:rsidRPr="000B7B1D">
        <w:rPr>
          <w:rFonts w:ascii="Times New Roman" w:hAnsi="Times New Roman" w:cs="Times New Roman"/>
          <w:sz w:val="24"/>
          <w:szCs w:val="24"/>
        </w:rPr>
        <w:t>Miltenyi</w:t>
      </w:r>
      <w:proofErr w:type="spellEnd"/>
      <w:r w:rsidRPr="000B7B1D">
        <w:rPr>
          <w:rFonts w:ascii="Times New Roman" w:hAnsi="Times New Roman" w:cs="Times New Roman"/>
          <w:sz w:val="24"/>
          <w:szCs w:val="24"/>
        </w:rPr>
        <w:t xml:space="preserve"> </w:t>
      </w:r>
      <w:proofErr w:type="spellStart"/>
      <w:r w:rsidRPr="000B7B1D">
        <w:rPr>
          <w:rFonts w:ascii="Times New Roman" w:hAnsi="Times New Roman" w:cs="Times New Roman"/>
          <w:sz w:val="24"/>
          <w:szCs w:val="24"/>
        </w:rPr>
        <w:t>Biotec</w:t>
      </w:r>
      <w:proofErr w:type="spellEnd"/>
      <w:r w:rsidRPr="000B7B1D">
        <w:rPr>
          <w:rFonts w:ascii="Times New Roman" w:hAnsi="Times New Roman" w:cs="Times New Roman"/>
          <w:sz w:val="24"/>
          <w:szCs w:val="24"/>
        </w:rPr>
        <w:t xml:space="preserve">, </w:t>
      </w:r>
      <w:proofErr w:type="spellStart"/>
      <w:r w:rsidRPr="000B7B1D">
        <w:rPr>
          <w:rFonts w:ascii="Times New Roman" w:hAnsi="Times New Roman" w:cs="Times New Roman"/>
          <w:sz w:val="24"/>
          <w:szCs w:val="24"/>
        </w:rPr>
        <w:t>Bergisch</w:t>
      </w:r>
      <w:proofErr w:type="spellEnd"/>
      <w:r w:rsidRPr="000B7B1D">
        <w:rPr>
          <w:rFonts w:ascii="Times New Roman" w:hAnsi="Times New Roman" w:cs="Times New Roman"/>
          <w:sz w:val="24"/>
          <w:szCs w:val="24"/>
        </w:rPr>
        <w:t xml:space="preserve"> </w:t>
      </w:r>
      <w:proofErr w:type="spellStart"/>
      <w:r w:rsidRPr="000B7B1D">
        <w:rPr>
          <w:rFonts w:ascii="Times New Roman" w:hAnsi="Times New Roman" w:cs="Times New Roman"/>
          <w:sz w:val="24"/>
          <w:szCs w:val="24"/>
        </w:rPr>
        <w:t>Gladbach</w:t>
      </w:r>
      <w:proofErr w:type="spellEnd"/>
      <w:r w:rsidRPr="000B7B1D">
        <w:rPr>
          <w:rFonts w:ascii="Times New Roman" w:hAnsi="Times New Roman" w:cs="Times New Roman"/>
          <w:sz w:val="24"/>
          <w:szCs w:val="24"/>
        </w:rPr>
        <w:t xml:space="preserve">, Germany). Isolated splenocytes were surface stained at room temperature for 30 min using the following </w:t>
      </w:r>
      <w:proofErr w:type="spellStart"/>
      <w:r w:rsidRPr="000B7B1D">
        <w:rPr>
          <w:rFonts w:ascii="Times New Roman" w:hAnsi="Times New Roman" w:cs="Times New Roman"/>
          <w:sz w:val="24"/>
          <w:szCs w:val="24"/>
        </w:rPr>
        <w:t>mAb</w:t>
      </w:r>
      <w:proofErr w:type="spellEnd"/>
      <w:r w:rsidRPr="000B7B1D">
        <w:rPr>
          <w:rFonts w:ascii="Times New Roman" w:hAnsi="Times New Roman" w:cs="Times New Roman"/>
          <w:sz w:val="24"/>
          <w:szCs w:val="24"/>
        </w:rPr>
        <w:t xml:space="preserve">: anti-CD3 (17A2) and anti-CD4 (GK1.5; both from </w:t>
      </w:r>
      <w:proofErr w:type="spellStart"/>
      <w:r w:rsidRPr="000B7B1D">
        <w:rPr>
          <w:rFonts w:ascii="Times New Roman" w:hAnsi="Times New Roman" w:cs="Times New Roman"/>
          <w:color w:val="000000"/>
          <w:sz w:val="24"/>
          <w:szCs w:val="24"/>
          <w:shd w:val="clear" w:color="auto" w:fill="F9F9F9"/>
        </w:rPr>
        <w:t>BioLegend</w:t>
      </w:r>
      <w:proofErr w:type="spellEnd"/>
      <w:r w:rsidRPr="000B7B1D">
        <w:rPr>
          <w:rFonts w:ascii="Times New Roman" w:hAnsi="Times New Roman" w:cs="Times New Roman"/>
          <w:color w:val="000000"/>
          <w:sz w:val="24"/>
          <w:szCs w:val="24"/>
          <w:shd w:val="clear" w:color="auto" w:fill="F9F9F9"/>
        </w:rPr>
        <w:t>)</w:t>
      </w:r>
      <w:r w:rsidRPr="000B7B1D">
        <w:rPr>
          <w:rFonts w:ascii="Times New Roman" w:hAnsi="Times New Roman" w:cs="Times New Roman"/>
          <w:sz w:val="24"/>
          <w:szCs w:val="24"/>
        </w:rPr>
        <w:t>. For intracellular staining, cells were fixed and permeabilized using Foxp3/Transcription Factor Staining Buffer Set (</w:t>
      </w:r>
      <w:proofErr w:type="spellStart"/>
      <w:r w:rsidRPr="000B7B1D">
        <w:rPr>
          <w:rFonts w:ascii="Times New Roman" w:hAnsi="Times New Roman" w:cs="Times New Roman"/>
          <w:sz w:val="24"/>
          <w:szCs w:val="24"/>
        </w:rPr>
        <w:t>eBioscience</w:t>
      </w:r>
      <w:proofErr w:type="spellEnd"/>
      <w:r w:rsidRPr="000B7B1D">
        <w:rPr>
          <w:rFonts w:ascii="Times New Roman" w:hAnsi="Times New Roman" w:cs="Times New Roman"/>
          <w:sz w:val="24"/>
          <w:szCs w:val="24"/>
        </w:rPr>
        <w:t xml:space="preserve">™, </w:t>
      </w:r>
      <w:proofErr w:type="spellStart"/>
      <w:r w:rsidRPr="000B7B1D">
        <w:rPr>
          <w:rFonts w:ascii="Times New Roman" w:hAnsi="Times New Roman" w:cs="Times New Roman"/>
          <w:sz w:val="24"/>
          <w:szCs w:val="24"/>
        </w:rPr>
        <w:t>Thermo</w:t>
      </w:r>
      <w:proofErr w:type="spellEnd"/>
      <w:r w:rsidRPr="000B7B1D">
        <w:rPr>
          <w:rFonts w:ascii="Times New Roman" w:hAnsi="Times New Roman" w:cs="Times New Roman"/>
          <w:sz w:val="24"/>
          <w:szCs w:val="24"/>
        </w:rPr>
        <w:t xml:space="preserve"> Fisher Scientific) and stained for 20 min at 4 ◦C with the following </w:t>
      </w:r>
      <w:proofErr w:type="spellStart"/>
      <w:r w:rsidRPr="000B7B1D">
        <w:rPr>
          <w:rFonts w:ascii="Times New Roman" w:hAnsi="Times New Roman" w:cs="Times New Roman"/>
          <w:sz w:val="24"/>
          <w:szCs w:val="24"/>
        </w:rPr>
        <w:t>mAb</w:t>
      </w:r>
      <w:proofErr w:type="spellEnd"/>
      <w:r w:rsidRPr="000B7B1D">
        <w:rPr>
          <w:rFonts w:ascii="Times New Roman" w:hAnsi="Times New Roman" w:cs="Times New Roman"/>
          <w:sz w:val="24"/>
          <w:szCs w:val="24"/>
        </w:rPr>
        <w:t xml:space="preserve">: anti-Foxp3 (FJK-16s, Invitrogen by </w:t>
      </w:r>
      <w:proofErr w:type="spellStart"/>
      <w:r w:rsidRPr="000B7B1D">
        <w:rPr>
          <w:rFonts w:ascii="Times New Roman" w:hAnsi="Times New Roman" w:cs="Times New Roman"/>
          <w:sz w:val="24"/>
          <w:szCs w:val="24"/>
        </w:rPr>
        <w:t>Thermo</w:t>
      </w:r>
      <w:proofErr w:type="spellEnd"/>
      <w:r w:rsidRPr="000B7B1D">
        <w:rPr>
          <w:rFonts w:ascii="Times New Roman" w:hAnsi="Times New Roman" w:cs="Times New Roman"/>
          <w:sz w:val="24"/>
          <w:szCs w:val="24"/>
        </w:rPr>
        <w:t xml:space="preserve"> Fischer Scientific, Waltham, MA, USA) and anti-CTLA-4 (UC10-4F10-11, BD Biosciences).</w:t>
      </w:r>
    </w:p>
    <w:p w14:paraId="00EED306" w14:textId="1F3A132A" w:rsidR="000B7B1D" w:rsidRPr="000B7B1D" w:rsidRDefault="000B7B1D" w:rsidP="00B81EAC">
      <w:pPr>
        <w:spacing w:after="0" w:line="480" w:lineRule="auto"/>
        <w:jc w:val="both"/>
        <w:rPr>
          <w:rFonts w:ascii="Times New Roman" w:hAnsi="Times New Roman" w:cs="Times New Roman"/>
          <w:sz w:val="24"/>
          <w:szCs w:val="24"/>
        </w:rPr>
      </w:pPr>
      <w:r w:rsidRPr="000B7B1D">
        <w:rPr>
          <w:rFonts w:ascii="Times New Roman" w:hAnsi="Times New Roman" w:cs="Times New Roman"/>
          <w:sz w:val="24"/>
          <w:szCs w:val="24"/>
        </w:rPr>
        <w:t>For phenotypic analysis of T and B cell subsets in patients of the clinical trial, freshly isolated PBMCs were stained with CD16/CD32 Fc Block (</w:t>
      </w:r>
      <w:proofErr w:type="spellStart"/>
      <w:r w:rsidRPr="000B7B1D">
        <w:rPr>
          <w:rFonts w:ascii="Times New Roman" w:hAnsi="Times New Roman" w:cs="Times New Roman"/>
          <w:sz w:val="24"/>
          <w:szCs w:val="24"/>
        </w:rPr>
        <w:t>Thermo</w:t>
      </w:r>
      <w:proofErr w:type="spellEnd"/>
      <w:r w:rsidRPr="000B7B1D">
        <w:rPr>
          <w:rFonts w:ascii="Times New Roman" w:hAnsi="Times New Roman" w:cs="Times New Roman"/>
          <w:sz w:val="24"/>
          <w:szCs w:val="24"/>
        </w:rPr>
        <w:t xml:space="preserve"> Fisher Scientific) and Zombie NIR</w:t>
      </w:r>
      <w:r w:rsidRPr="000B7B1D">
        <w:rPr>
          <w:rFonts w:ascii="Times New Roman" w:hAnsi="Times New Roman" w:cs="Times New Roman"/>
          <w:sz w:val="24"/>
          <w:szCs w:val="24"/>
          <w:vertAlign w:val="superscript"/>
        </w:rPr>
        <w:t>TM</w:t>
      </w:r>
      <w:r w:rsidRPr="000B7B1D">
        <w:rPr>
          <w:rFonts w:ascii="Times New Roman" w:hAnsi="Times New Roman" w:cs="Times New Roman"/>
          <w:sz w:val="24"/>
          <w:szCs w:val="24"/>
        </w:rPr>
        <w:t xml:space="preserve"> Fixable Viability dye (</w:t>
      </w:r>
      <w:proofErr w:type="spellStart"/>
      <w:r w:rsidRPr="000B7B1D">
        <w:rPr>
          <w:rFonts w:ascii="Times New Roman" w:hAnsi="Times New Roman" w:cs="Times New Roman"/>
          <w:sz w:val="24"/>
          <w:szCs w:val="24"/>
        </w:rPr>
        <w:t>BioLegend</w:t>
      </w:r>
      <w:proofErr w:type="spellEnd"/>
      <w:r w:rsidRPr="000B7B1D">
        <w:rPr>
          <w:rFonts w:ascii="Times New Roman" w:hAnsi="Times New Roman" w:cs="Times New Roman"/>
          <w:sz w:val="24"/>
          <w:szCs w:val="24"/>
        </w:rPr>
        <w:t>) at 4</w:t>
      </w:r>
      <w:r w:rsidRPr="000B7B1D">
        <w:rPr>
          <w:rFonts w:ascii="Times New Roman" w:eastAsia="Symbol" w:hAnsi="Times New Roman" w:cs="Times New Roman"/>
          <w:sz w:val="24"/>
          <w:szCs w:val="24"/>
        </w:rPr>
        <w:t>°</w:t>
      </w:r>
      <w:r w:rsidRPr="000B7B1D">
        <w:rPr>
          <w:rFonts w:ascii="Times New Roman" w:hAnsi="Times New Roman" w:cs="Times New Roman"/>
          <w:sz w:val="24"/>
          <w:szCs w:val="24"/>
        </w:rPr>
        <w:t>C for 30 min. Cells were subsequently stained with surface antibodies at 4</w:t>
      </w:r>
      <w:r w:rsidRPr="000B7B1D">
        <w:rPr>
          <w:rFonts w:ascii="Times New Roman" w:eastAsia="Symbol" w:hAnsi="Times New Roman" w:cs="Times New Roman"/>
          <w:sz w:val="24"/>
          <w:szCs w:val="24"/>
        </w:rPr>
        <w:t>°</w:t>
      </w:r>
      <w:r w:rsidRPr="000B7B1D">
        <w:rPr>
          <w:rFonts w:ascii="Times New Roman" w:hAnsi="Times New Roman" w:cs="Times New Roman"/>
          <w:sz w:val="24"/>
          <w:szCs w:val="24"/>
        </w:rPr>
        <w:t>C for 30 min.</w:t>
      </w:r>
    </w:p>
    <w:p w14:paraId="65223C4F" w14:textId="55624E57" w:rsidR="000B7B1D" w:rsidRPr="000B7B1D" w:rsidRDefault="000B7B1D" w:rsidP="00B81EAC">
      <w:pPr>
        <w:spacing w:after="0" w:line="480" w:lineRule="auto"/>
        <w:jc w:val="both"/>
        <w:rPr>
          <w:rFonts w:ascii="Times New Roman" w:hAnsi="Times New Roman" w:cs="Times New Roman"/>
          <w:sz w:val="24"/>
          <w:szCs w:val="24"/>
        </w:rPr>
      </w:pPr>
      <w:r w:rsidRPr="000B7B1D">
        <w:rPr>
          <w:rFonts w:ascii="Times New Roman" w:hAnsi="Times New Roman" w:cs="Times New Roman"/>
          <w:sz w:val="24"/>
          <w:szCs w:val="24"/>
        </w:rPr>
        <w:t xml:space="preserve">As to flow cytometric analyses of bulk T cell subsets, T cells were stained with the following </w:t>
      </w:r>
      <w:proofErr w:type="spellStart"/>
      <w:r w:rsidRPr="000B7B1D">
        <w:rPr>
          <w:rFonts w:ascii="Times New Roman" w:hAnsi="Times New Roman" w:cs="Times New Roman"/>
          <w:sz w:val="24"/>
          <w:szCs w:val="24"/>
        </w:rPr>
        <w:t>mAbs</w:t>
      </w:r>
      <w:proofErr w:type="spellEnd"/>
      <w:r w:rsidRPr="000B7B1D">
        <w:rPr>
          <w:rFonts w:ascii="Times New Roman" w:hAnsi="Times New Roman" w:cs="Times New Roman"/>
          <w:sz w:val="24"/>
          <w:szCs w:val="24"/>
        </w:rPr>
        <w:t>: CXCR3-BV421 (G025H7), CD4-BV510 (RPA-T4), CD45RA-FITC (HI100), CD3-PerCP-Cy5.5 (SK7), CXCR5-PE (J252D4), CCR6-APC (G034E3)</w:t>
      </w:r>
      <w:r w:rsidR="005A4A8A">
        <w:rPr>
          <w:rFonts w:ascii="Times New Roman" w:hAnsi="Times New Roman" w:cs="Times New Roman"/>
          <w:sz w:val="24"/>
          <w:szCs w:val="24"/>
        </w:rPr>
        <w:t>,</w:t>
      </w:r>
      <w:r w:rsidRPr="000B7B1D">
        <w:rPr>
          <w:rFonts w:ascii="Times New Roman" w:hAnsi="Times New Roman" w:cs="Times New Roman"/>
          <w:sz w:val="24"/>
          <w:szCs w:val="24"/>
        </w:rPr>
        <w:t xml:space="preserve"> CD25-BV711 (BC96), and CD127-BV650 (A019D5; all </w:t>
      </w:r>
      <w:proofErr w:type="spellStart"/>
      <w:r w:rsidRPr="000B7B1D">
        <w:rPr>
          <w:rFonts w:ascii="Times New Roman" w:hAnsi="Times New Roman" w:cs="Times New Roman"/>
          <w:sz w:val="24"/>
          <w:szCs w:val="24"/>
        </w:rPr>
        <w:t>BioLegend</w:t>
      </w:r>
      <w:proofErr w:type="spellEnd"/>
      <w:r w:rsidRPr="000B7B1D">
        <w:rPr>
          <w:rFonts w:ascii="Times New Roman" w:hAnsi="Times New Roman" w:cs="Times New Roman"/>
          <w:sz w:val="24"/>
          <w:szCs w:val="24"/>
        </w:rPr>
        <w:t>). The various T helper (Th) cell (CD3</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CD4</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subsets were defined as follows: Th1 (CXCR3</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CCR6</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Th2 (CXCR3</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CCR6</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Th17 (CXCR3</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CCR6</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Th17.1 (CXCR3</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CCR6</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and Treg cells (CD25</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CD127</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xml:space="preserve">). When these T cells co-expressed CXCR5, they were identified as follicular helper or follicular regulatory cells and designated accordingly as Tfh1, Tfh2, Tfh17, Tfh17.1, and </w:t>
      </w:r>
      <w:proofErr w:type="spellStart"/>
      <w:r w:rsidRPr="000B7B1D">
        <w:rPr>
          <w:rFonts w:ascii="Times New Roman" w:hAnsi="Times New Roman" w:cs="Times New Roman"/>
          <w:sz w:val="24"/>
          <w:szCs w:val="24"/>
        </w:rPr>
        <w:t>Tfr</w:t>
      </w:r>
      <w:proofErr w:type="spellEnd"/>
      <w:r w:rsidR="00613492">
        <w:rPr>
          <w:rFonts w:ascii="Times New Roman" w:hAnsi="Times New Roman" w:cs="Times New Roman"/>
          <w:sz w:val="24"/>
          <w:szCs w:val="24"/>
        </w:rPr>
        <w:t xml:space="preserve"> cells</w:t>
      </w:r>
      <w:r w:rsidR="009B0681">
        <w:rPr>
          <w:rFonts w:ascii="Times New Roman" w:hAnsi="Times New Roman" w:cs="Times New Roman"/>
          <w:sz w:val="24"/>
          <w:szCs w:val="24"/>
        </w:rPr>
        <w:t>, respectively.</w:t>
      </w:r>
    </w:p>
    <w:p w14:paraId="6D709D33" w14:textId="77777777" w:rsidR="000B7B1D" w:rsidRPr="000B7B1D" w:rsidRDefault="000B7B1D" w:rsidP="00B81EAC">
      <w:pPr>
        <w:spacing w:after="0" w:line="480" w:lineRule="auto"/>
        <w:jc w:val="both"/>
        <w:rPr>
          <w:rFonts w:ascii="Times New Roman" w:hAnsi="Times New Roman" w:cs="Times New Roman"/>
          <w:sz w:val="24"/>
          <w:szCs w:val="24"/>
        </w:rPr>
      </w:pPr>
      <w:r w:rsidRPr="000B7B1D">
        <w:rPr>
          <w:rFonts w:ascii="Times New Roman" w:hAnsi="Times New Roman" w:cs="Times New Roman"/>
          <w:sz w:val="24"/>
          <w:szCs w:val="24"/>
        </w:rPr>
        <w:t xml:space="preserve">For the staining of B cell subsets, the following </w:t>
      </w:r>
      <w:proofErr w:type="spellStart"/>
      <w:r w:rsidRPr="000B7B1D">
        <w:rPr>
          <w:rFonts w:ascii="Times New Roman" w:hAnsi="Times New Roman" w:cs="Times New Roman"/>
          <w:sz w:val="24"/>
          <w:szCs w:val="24"/>
        </w:rPr>
        <w:t>mAbs</w:t>
      </w:r>
      <w:proofErr w:type="spellEnd"/>
      <w:r w:rsidRPr="000B7B1D">
        <w:rPr>
          <w:rFonts w:ascii="Times New Roman" w:hAnsi="Times New Roman" w:cs="Times New Roman"/>
          <w:sz w:val="24"/>
          <w:szCs w:val="24"/>
        </w:rPr>
        <w:t xml:space="preserve"> were used: CD19-FITC (HIB19), CD24-PerCP-Cy5.5 (ML5), CD27-PE-Cy7 (M-T271), CD38-BV650 (HB-7), CD45-AF700 (2D1), IgD-BV510 (IA6-2), and IgM-BV421 (MHM-88; all </w:t>
      </w:r>
      <w:proofErr w:type="spellStart"/>
      <w:r w:rsidRPr="000B7B1D">
        <w:rPr>
          <w:rFonts w:ascii="Times New Roman" w:hAnsi="Times New Roman" w:cs="Times New Roman"/>
          <w:sz w:val="24"/>
          <w:szCs w:val="24"/>
        </w:rPr>
        <w:t>BioLegend</w:t>
      </w:r>
      <w:proofErr w:type="spellEnd"/>
      <w:r w:rsidRPr="000B7B1D">
        <w:rPr>
          <w:rFonts w:ascii="Times New Roman" w:hAnsi="Times New Roman" w:cs="Times New Roman"/>
          <w:sz w:val="24"/>
          <w:szCs w:val="24"/>
        </w:rPr>
        <w:t>). Peripheral B cells were dissected into seven subpopulations comprising total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naïve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CD27</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memory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CD27</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transitional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CD27</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CD24</w:t>
      </w:r>
      <w:r w:rsidRPr="00613492">
        <w:rPr>
          <w:rFonts w:ascii="Times New Roman" w:hAnsi="Times New Roman" w:cs="Times New Roman"/>
          <w:sz w:val="24"/>
          <w:szCs w:val="24"/>
          <w:vertAlign w:val="superscript"/>
        </w:rPr>
        <w:t>hi</w:t>
      </w:r>
      <w:r w:rsidRPr="000B7B1D">
        <w:rPr>
          <w:rFonts w:ascii="Times New Roman" w:hAnsi="Times New Roman" w:cs="Times New Roman"/>
          <w:sz w:val="24"/>
          <w:szCs w:val="24"/>
        </w:rPr>
        <w:t>CD38</w:t>
      </w:r>
      <w:r w:rsidRPr="00613492">
        <w:rPr>
          <w:rFonts w:ascii="Times New Roman" w:hAnsi="Times New Roman" w:cs="Times New Roman"/>
          <w:sz w:val="24"/>
          <w:szCs w:val="24"/>
          <w:vertAlign w:val="superscript"/>
        </w:rPr>
        <w:t>hi</w:t>
      </w:r>
      <w:r w:rsidRPr="000B7B1D">
        <w:rPr>
          <w:rFonts w:ascii="Times New Roman" w:hAnsi="Times New Roman" w:cs="Times New Roman"/>
          <w:sz w:val="24"/>
          <w:szCs w:val="24"/>
        </w:rPr>
        <w:t>), class-switched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CD27</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IgD</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IgM</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and marginal zone B cells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CD27</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IgD</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IgM</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 xml:space="preserve">), as well as </w:t>
      </w:r>
      <w:proofErr w:type="spellStart"/>
      <w:r w:rsidRPr="000B7B1D">
        <w:rPr>
          <w:rFonts w:ascii="Times New Roman" w:hAnsi="Times New Roman" w:cs="Times New Roman"/>
          <w:sz w:val="24"/>
          <w:szCs w:val="24"/>
        </w:rPr>
        <w:t>plasmablasts</w:t>
      </w:r>
      <w:proofErr w:type="spellEnd"/>
      <w:r w:rsidRPr="000B7B1D">
        <w:rPr>
          <w:rFonts w:ascii="Times New Roman" w:hAnsi="Times New Roman" w:cs="Times New Roman"/>
          <w:sz w:val="24"/>
          <w:szCs w:val="24"/>
        </w:rPr>
        <w:t xml:space="preserve"> (CD19</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CD27</w:t>
      </w:r>
      <w:r w:rsidRPr="00613492">
        <w:rPr>
          <w:rFonts w:ascii="Times New Roman" w:hAnsi="Times New Roman" w:cs="Times New Roman"/>
          <w:sz w:val="24"/>
          <w:szCs w:val="24"/>
          <w:vertAlign w:val="superscript"/>
        </w:rPr>
        <w:t>hi</w:t>
      </w:r>
      <w:r w:rsidRPr="000B7B1D">
        <w:rPr>
          <w:rFonts w:ascii="Times New Roman" w:hAnsi="Times New Roman" w:cs="Times New Roman"/>
          <w:sz w:val="24"/>
          <w:szCs w:val="24"/>
        </w:rPr>
        <w:t>IgM</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IgD</w:t>
      </w:r>
      <w:r w:rsidRPr="00613492">
        <w:rPr>
          <w:rFonts w:ascii="Times New Roman" w:hAnsi="Times New Roman" w:cs="Times New Roman"/>
          <w:sz w:val="24"/>
          <w:szCs w:val="24"/>
          <w:vertAlign w:val="superscript"/>
        </w:rPr>
        <w:t>−</w:t>
      </w:r>
      <w:r w:rsidRPr="000B7B1D">
        <w:rPr>
          <w:rFonts w:ascii="Times New Roman" w:hAnsi="Times New Roman" w:cs="Times New Roman"/>
          <w:sz w:val="24"/>
          <w:szCs w:val="24"/>
        </w:rPr>
        <w:t>CD38</w:t>
      </w:r>
      <w:r w:rsidRPr="00613492">
        <w:rPr>
          <w:rFonts w:ascii="Times New Roman" w:hAnsi="Times New Roman" w:cs="Times New Roman"/>
          <w:sz w:val="24"/>
          <w:szCs w:val="24"/>
          <w:vertAlign w:val="superscript"/>
        </w:rPr>
        <w:t>hi</w:t>
      </w:r>
      <w:r w:rsidRPr="000B7B1D">
        <w:rPr>
          <w:rFonts w:ascii="Times New Roman" w:hAnsi="Times New Roman" w:cs="Times New Roman"/>
          <w:sz w:val="24"/>
          <w:szCs w:val="24"/>
        </w:rPr>
        <w:t>).</w:t>
      </w:r>
    </w:p>
    <w:p w14:paraId="144B99F4" w14:textId="77777777" w:rsidR="000B7B1D" w:rsidRPr="000B7B1D" w:rsidRDefault="000B7B1D" w:rsidP="00B81EAC">
      <w:pPr>
        <w:spacing w:after="0" w:line="480" w:lineRule="auto"/>
        <w:jc w:val="both"/>
        <w:rPr>
          <w:rFonts w:ascii="Times New Roman" w:hAnsi="Times New Roman" w:cs="Times New Roman"/>
          <w:sz w:val="24"/>
          <w:szCs w:val="24"/>
        </w:rPr>
      </w:pPr>
    </w:p>
    <w:p w14:paraId="335DD2D3" w14:textId="55B4EFC6" w:rsidR="000B7B1D" w:rsidRPr="000B7B1D" w:rsidRDefault="000B7B1D" w:rsidP="00B81EAC">
      <w:pPr>
        <w:spacing w:after="0" w:line="480" w:lineRule="auto"/>
        <w:jc w:val="both"/>
        <w:rPr>
          <w:rFonts w:ascii="Times New Roman" w:hAnsi="Times New Roman" w:cs="Times New Roman"/>
          <w:sz w:val="24"/>
          <w:szCs w:val="24"/>
        </w:rPr>
      </w:pPr>
      <w:r w:rsidRPr="000B7B1D">
        <w:rPr>
          <w:rFonts w:ascii="Times New Roman" w:hAnsi="Times New Roman" w:cs="Times New Roman"/>
          <w:b/>
          <w:bCs/>
          <w:sz w:val="24"/>
          <w:szCs w:val="24"/>
        </w:rPr>
        <w:t>Monolayer Dissociation Assay (MDA)</w:t>
      </w:r>
      <w:r w:rsidRPr="000B7B1D">
        <w:rPr>
          <w:rFonts w:ascii="Times New Roman" w:hAnsi="Times New Roman" w:cs="Times New Roman"/>
          <w:sz w:val="24"/>
          <w:szCs w:val="24"/>
        </w:rPr>
        <w:t xml:space="preserve">—The MDA was carried out with dense monolayers of </w:t>
      </w:r>
      <w:proofErr w:type="spellStart"/>
      <w:r w:rsidRPr="000B7B1D">
        <w:rPr>
          <w:rFonts w:ascii="Times New Roman" w:hAnsi="Times New Roman" w:cs="Times New Roman"/>
          <w:sz w:val="24"/>
          <w:szCs w:val="24"/>
        </w:rPr>
        <w:t>hTert</w:t>
      </w:r>
      <w:proofErr w:type="spellEnd"/>
      <w:r w:rsidRPr="000B7B1D">
        <w:rPr>
          <w:rFonts w:ascii="Times New Roman" w:hAnsi="Times New Roman" w:cs="Times New Roman"/>
          <w:sz w:val="24"/>
          <w:szCs w:val="24"/>
        </w:rPr>
        <w:t xml:space="preserve">/KERCT cells, as previously described by us </w:t>
      </w:r>
      <w:sdt>
        <w:sdtPr>
          <w:rPr>
            <w:rFonts w:ascii="Times New Roman" w:hAnsi="Times New Roman" w:cs="Times New Roman"/>
            <w:color w:val="000000"/>
            <w:sz w:val="24"/>
            <w:szCs w:val="24"/>
            <w:vertAlign w:val="superscript"/>
          </w:rPr>
          <w:tag w:val="MENDELEY_CITATION_v3_eyJjaXRhdGlvbklEIjoiTUVOREVMRVlfQ0lUQVRJT05fZjk3NmM1NDMtZGQ2OC00Y2JkLWFlZmMtZmQzMDI2M2E1ZmQ3IiwicHJvcGVydGllcyI6eyJub3RlSW5kZXgiOjB9LCJpc0VkaXRlZCI6ZmFsc2UsIm1hbnVhbE92ZXJyaWRlIjp7ImlzTWFudWFsbHlPdmVycmlkZGVuIjpmYWxzZSwiY2l0ZXByb2NUZXh0IjoiPHN1cD43PC9zdXA+IiwibWFudWFsT3ZlcnJpZGVUZXh0IjoiIn0sImNpdGF0aW9uSXRlbXMiOlt7ImlkIjoiN2Y1OWVmMjMtYjVkNC0zZWE4LWE1YTctYTQzOTg3ZTQ5ZGMyIiwiaXRlbURhdGEiOnsidHlwZSI6ImFydGljbGUtam91cm5hbCIsImlkIjoiN2Y1OWVmMjMtYjVkNC0zZWE4LWE1YTctYTQzOTg3ZTQ5ZGMyIiwidGl0bGUiOiJJbW1vcnRhbGl6ZWQgSHVtYW4gaFRlcnQvS0VSLUNUIEtlcmF0aW5vY3l0ZXMgYSBNb2RlbCBTeXN0ZW0gZm9yIFJlc2VhcmNoIG9uIERlc21vc29tYWwgQWRoZXNpb24gYW5kIFBhdGhvZ2VuZXNpcyBvZiBQZW1waGlndXMgVnVsZ2FyaXMiLCJhdXRob3IiOlt7ImZhbWlseSI6IkJlY2tlcnQiLCJnaXZlbiI6IkJlbmVkaWt0IiwicGFyc2UtbmFtZXMiOmZhbHNlLCJkcm9wcGluZy1wYXJ0aWNsZSI6IiIsIm5vbi1kcm9wcGluZy1wYXJ0aWNsZSI6IiJ9LHsiZmFtaWx5IjoiUGFuaWNvIiwiZ2l2ZW4iOiJGcmFuY2VzY2EiLCJwYXJzZS1uYW1lcyI6ZmFsc2UsImRyb3BwaW5nLXBhcnRpY2xlIjoiIiwibm9uLWRyb3BwaW5nLXBhcnRpY2xlIjoiIn0seyJmYW1pbHkiOiJQb2xsbWFubiIsImdpdmVuIjoiUm9iZXJ0IiwicGFyc2UtbmFtZXMiOmZhbHNlLCJkcm9wcGluZy1wYXJ0aWNsZSI6IiIsIm5vbi1kcm9wcGluZy1wYXJ0aWNsZSI6IiJ9LHsiZmFtaWx5IjoiRW1pbmciLCJnaXZlbiI6IlLDvGRpZ2VyIiwicGFyc2UtbmFtZXMiOmZhbHNlLCJkcm9wcGluZy1wYXJ0aWNsZSI6IiIsIm5vbi1kcm9wcGluZy1wYXJ0aWNsZSI6IiJ9LHsiZmFtaWx5IjoiQmFubmluZyIsImdpdmVuIjoiQW50amUiLCJwYXJzZS1uYW1lcyI6ZmFsc2UsImRyb3BwaW5nLXBhcnRpY2xlIjoiIiwibm9uLWRyb3BwaW5nLXBhcnRpY2xlIjoiIn0seyJmYW1pbHkiOiJUaWtrYW5lbiIsImdpdmVuIjoiUml0dmEiLCJwYXJzZS1uYW1lcyI6ZmFsc2UsImRyb3BwaW5nLXBhcnRpY2xlIjoiIiwibm9uLWRyb3BwaW5nLXBhcnRpY2xlIjoiIn1dLCJjb250YWluZXItdGl0bGUiOiJJbnRlcm5hdGlvbmFsIEpvdXJuYWwgb2YgTW9sZWN1bGFyIFNjaWVuY2VzIiwiY29udGFpbmVyLXRpdGxlLXNob3J0IjoiSW50IEogTW9sIFNjaSIsIkRPSSI6IjEwLjMzOTAvaWptczIwMTMzMTEzIiwiSVNTTiI6IjE0MjItMDA2NyIsImlzc3VlZCI6eyJkYXRlLXBhcnRzIjpbWzIwMTksNiwyNl1dfSwicGFnZSI6IjMxMTMiLCJhYnN0cmFjdCI6IjxwPlBlbXBoaWd1cyBWdWxnYXJpcyBpcyBhbiBhdXRvaW1tdW5lIGRpc2Vhc2UgdGhhdCByZXN1bHRzIGluIGJsaXN0ZXIgZm9ybWF0aW9uIGluIHRoZSBlcGlkZXJtaXMgYW5kIGluIG11Y29zYWwgdGlzc3VlcyBkdWUgdG8gYW50aWJvZGllcyByZWNvZ25pemluZyBkZXNtb3NvbWFsIGNhZGhlcmlucywgbWFpbmx5IGRlc21vZ2xlaW4tMyBhbmQgLTEuIFN0dWRpZXMgb24gdGhlIG1vbGVjdWxhciBtZWNoYW5pc21zIG9mIFBlbXBoaWd1cyBoYXZlIG1haW5seSBiZWVuIGNhcnJpZWQgb3V0IHVzaW5nIHRoZSBzcG9udGFuZW91c2x5IGltbW9ydGFsaXplZCBodW1hbiBrZXJhdGlub2N5dGUgY2VsbCBsaW5lIEhhQ2FUIG9yIGluIHByaW1hcnkga2VyYXRpbm9jeXRlcy4gSG93ZXZlciwgYm90aCBjZWxsIHN5c3RlbXMgaGF2ZSBzdWJvcHRpbWFsIGZlYXR1cmVzLCB3aXRoIEhhQ2FUIGNlbGxzIGV4aGliaXRpbmcgYSBsYXJnZSBudW1iZXIgb2YgY2hyb21vc29tYWwgYWJlcnJhdGlvbnMgYW5kIG11dGF0ZWQgcDUzIHR1bW9yIHN1cHByZXNzb3IsIHdoZXJlYXMgcHJpbWFyeSBrZXJhdGlub2N5dGVzIGFyZSBzaG9ydC1saXZlZCwgaGV0ZXJvZ2VuZW91cyBhbmQgbm90IHN1c2NlcHRpYmxlIHRvIGdlbmV0aWMgbW9kaWZpY2F0aW9ucyBkdWUgdG8gdGhlaXIgcmVzdHJpY3RlZCBsaWZlLXNwYW4uIFdlIGhhdmUgaGVyZSB0ZXN0ZWQgdGhlIHN1aXRhYmlsaXR5IG9mIHRoZSBjb21tZXJjaWFsbHkgYXZhaWxhYmxlIGh1bWFuIGtlcmF0aW5vY3l0ZSBjZWxsIGxpbmUgaFRlcnQvS0VSLUNUIGFzIGEgbW9kZWwgc3lzdGVtIGZvciByZXNlYXJjaCBvbiBlcGlkZXJtYWwgY2VsbCBhZGhlc2lvbiBhbmQgUGVtcGhpZ3VzIHBhdGhvbWVjaGFuaXNtcy4gV2UgaGVyZSBzaG93IHRoYXQgaFRlcnQgY2VsbHMgZXhoaWJpdCBhIGNhbGNpdW0gZGVwZW5kZW50IGV4cHJlc3Npb24gb2YgZGVzbW9zb21hbCBjYWRoZXJpbnMgYW5kIGFyZSB3ZWxsIHN1aXRhYmxlIGZvciB0eXBpY2FsIGFzc2F5cyB1c2VkIGZvciBzdHVkaWVzIG9uIFBlbXBoaWd1cywgc3VjaCBhcyBzZXF1ZW50aWFsIGRldGVyZ2VudCBleHRyYWN0aW9uIGFuZCBEaXNwYXNlLWJhc2VkIGRpc3NvY2lhdGlvbiBhc3NheS4gVHJlYXRtZW50IHdpdGggUGVtcGhpZ3VzIGF1dG8tYW50aWJvZGllcyByZXN1bHRzIGluIGxvc3Mgb2YgbW9ub2xheWVyIGludGVncml0eSBhbmQgYWx0ZXJlZCBsb2NhbGl6YXRpb24gb2YgZGVzbW9nbGVpbi0zLCBhcyB3ZWxsIGFzIGxvc3Mgb2YgY29sb2NhbGl6YXRpb24gd2l0aCBmbG90aWxsaW4tMi4gT3VyIGZpbmRpbmdzIGRlbW9uc3RyYXRlIHRoYXQgaFRlcnQgY2VsbHMgYXJlIHdlbGwgc3VpdGFibGUgZm9yIHN0dWRpZXMgb24gZXBpZGVybWFsIGNlbGwgYWRoZXNpb24gYW5kIFBlbXBoaWd1cyBwYXRob21lY2hhbmlzbXMuPC9wPiIsImlzc3VlIjoiMTMiLCJ2b2x1bWUiOiIyMCJ9LCJpc1RlbXBvcmFyeSI6ZmFsc2V9XX0="/>
          <w:id w:val="-569108179"/>
          <w:placeholder>
            <w:docPart w:val="0C2A84EECABA4063A18DC276E9C150C6"/>
          </w:placeholder>
        </w:sdtPr>
        <w:sdtEndPr/>
        <w:sdtContent>
          <w:r w:rsidRPr="000B7B1D">
            <w:rPr>
              <w:rFonts w:ascii="Times New Roman" w:hAnsi="Times New Roman" w:cs="Times New Roman"/>
              <w:color w:val="000000"/>
              <w:sz w:val="24"/>
              <w:szCs w:val="24"/>
              <w:vertAlign w:val="superscript"/>
            </w:rPr>
            <w:t>7</w:t>
          </w:r>
        </w:sdtContent>
      </w:sdt>
      <w:r w:rsidRPr="000B7B1D">
        <w:rPr>
          <w:rFonts w:ascii="Times New Roman" w:hAnsi="Times New Roman" w:cs="Times New Roman"/>
          <w:sz w:val="24"/>
          <w:szCs w:val="24"/>
        </w:rPr>
        <w:t xml:space="preserve">. Total IgG isolated from PV patient plasma samples was used at 150 </w:t>
      </w:r>
      <w:proofErr w:type="spellStart"/>
      <w:r w:rsidRPr="000B7B1D">
        <w:rPr>
          <w:rFonts w:ascii="Times New Roman" w:hAnsi="Times New Roman" w:cs="Times New Roman"/>
          <w:sz w:val="24"/>
          <w:szCs w:val="24"/>
        </w:rPr>
        <w:t>μg</w:t>
      </w:r>
      <w:proofErr w:type="spellEnd"/>
      <w:r w:rsidRPr="000B7B1D">
        <w:rPr>
          <w:rFonts w:ascii="Times New Roman" w:hAnsi="Times New Roman" w:cs="Times New Roman"/>
          <w:sz w:val="24"/>
          <w:szCs w:val="24"/>
        </w:rPr>
        <w:t xml:space="preserve">/ml (Part A), or 500 </w:t>
      </w:r>
      <w:proofErr w:type="spellStart"/>
      <w:r w:rsidRPr="000B7B1D">
        <w:rPr>
          <w:rFonts w:ascii="Times New Roman" w:hAnsi="Times New Roman" w:cs="Times New Roman"/>
          <w:sz w:val="24"/>
          <w:szCs w:val="24"/>
        </w:rPr>
        <w:t>μg</w:t>
      </w:r>
      <w:proofErr w:type="spellEnd"/>
      <w:r w:rsidRPr="000B7B1D">
        <w:rPr>
          <w:rFonts w:ascii="Times New Roman" w:hAnsi="Times New Roman" w:cs="Times New Roman"/>
          <w:sz w:val="24"/>
          <w:szCs w:val="24"/>
        </w:rPr>
        <w:t xml:space="preserve">/ml (Part B). The well-characterized anti-Dsg3 mouse monoclonal antibody mAK23 (75 </w:t>
      </w:r>
      <w:proofErr w:type="spellStart"/>
      <w:r w:rsidRPr="000B7B1D">
        <w:rPr>
          <w:rFonts w:ascii="Times New Roman" w:hAnsi="Times New Roman" w:cs="Times New Roman"/>
          <w:sz w:val="24"/>
          <w:szCs w:val="24"/>
        </w:rPr>
        <w:t>μg</w:t>
      </w:r>
      <w:proofErr w:type="spellEnd"/>
      <w:r w:rsidRPr="000B7B1D">
        <w:rPr>
          <w:rFonts w:ascii="Times New Roman" w:hAnsi="Times New Roman" w:cs="Times New Roman"/>
          <w:sz w:val="24"/>
          <w:szCs w:val="24"/>
        </w:rPr>
        <w:t xml:space="preserve">/ml) was used as a positive control </w:t>
      </w:r>
      <w:sdt>
        <w:sdtPr>
          <w:rPr>
            <w:rFonts w:ascii="Times New Roman" w:hAnsi="Times New Roman" w:cs="Times New Roman"/>
            <w:color w:val="000000"/>
            <w:sz w:val="24"/>
            <w:szCs w:val="24"/>
            <w:vertAlign w:val="superscript"/>
          </w:rPr>
          <w:tag w:val="MENDELEY_CITATION_v3_eyJjaXRhdGlvbklEIjoiTUVOREVMRVlfQ0lUQVRJT05fNDYzOWEyNzItMzFkNi00ZjZhLTg1YzYtNTRlMGY5Njg0MDlkIiwicHJvcGVydGllcyI6eyJub3RlSW5kZXgiOjB9LCJpc0VkaXRlZCI6ZmFsc2UsIm1hbnVhbE92ZXJyaWRlIjp7ImlzTWFudWFsbHlPdmVycmlkZGVuIjpmYWxzZSwiY2l0ZXByb2NUZXh0IjoiPHN1cD44PC9zdXA+IiwibWFudWFsT3ZlcnJpZGVUZXh0IjoiIn0sImNpdGF0aW9uSXRlbXMiOlt7ImlkIjoiNGJmZGZmZWItNzgwZS0zNGE4LTlkMjUtNTU5MzJjYzQ2MjVhIiwiaXRlbURhdGEiOnsidHlwZSI6ImFydGljbGUtam91cm5hbCIsImlkIjoiNGJmZGZmZWItNzgwZS0zNGE4LTlkMjUtNTU5MzJjYzQ2MjVhIiwidGl0bGUiOiJJbmR1Y3Rpb24gb2YgUGVtcGhpZ3VzIFBoZW5vdHlwZSBieSBhIE1vdXNlIE1vbm9jbG9uYWwgQW50aWJvZHkgQWdhaW5zdCB0aGUgQW1pbm8tVGVybWluYWwgQWRoZXNpdmUgSW50ZXJmYWNlIG9mIERlc21vZ2xlaW4gMyIsImF1dGhvciI6W3siZmFtaWx5IjoiVHN1bm9kYSIsImdpdmVuIjoiS2F6dXl1a2kiLCJwYXJzZS1uYW1lcyI6ZmFsc2UsImRyb3BwaW5nLXBhcnRpY2xlIjoiIiwibm9uLWRyb3BwaW5nLXBhcnRpY2xlIjoiIn0seyJmYW1pbHkiOiJPdGEiLCJnaXZlbiI6IlRha2F5dWtpIiwicGFyc2UtbmFtZXMiOmZhbHNlLCJkcm9wcGluZy1wYXJ0aWNsZSI6IiIsIm5vbi1kcm9wcGluZy1wYXJ0aWNsZSI6IiJ9LHsiZmFtaWx5IjoiQW9raSIsImdpdmVuIjoiTWl5byIsInBhcnNlLW5hbWVzIjpmYWxzZSwiZHJvcHBpbmctcGFydGljbGUiOiIiLCJub24tZHJvcHBpbmctcGFydGljbGUiOiIifSx7ImZhbWlseSI6IllhbWFkYSIsImdpdmVuIjoiVGFrZXRvIiwicGFyc2UtbmFtZXMiOmZhbHNlLCJkcm9wcGluZy1wYXJ0aWNsZSI6IiIsIm5vbi1kcm9wcGluZy1wYXJ0aWNsZSI6IiJ9LHsiZmFtaWx5IjoiTmFnYWkiLCJnaXZlbiI6IlRldHN1byIsInBhcnNlLW5hbWVzIjpmYWxzZSwiZHJvcHBpbmctcGFydGljbGUiOiIiLCJub24tZHJvcHBpbmctcGFydGljbGUiOiIifSx7ImZhbWlseSI6Ik5ha2FnYXdhIiwiZ2l2ZW4iOiJUYW5lYWtpIiwicGFyc2UtbmFtZXMiOmZhbHNlLCJkcm9wcGluZy1wYXJ0aWNsZSI6IiIsIm5vbi1kcm9wcGluZy1wYXJ0aWNsZSI6IiJ9LHsiZmFtaWx5IjoiS295YXN1IiwiZ2l2ZW4iOiJTaGlnZW8iLCJwYXJzZS1uYW1lcyI6ZmFsc2UsImRyb3BwaW5nLXBhcnRpY2xlIjoiIiwibm9uLWRyb3BwaW5nLXBhcnRpY2xlIjoiIn0seyJmYW1pbHkiOiJOaXNoaWthd2EiLCJnaXZlbiI6IlRha2VqaSIsInBhcnNlLW5hbWVzIjpmYWxzZSwiZHJvcHBpbmctcGFydGljbGUiOiIiLCJub24tZHJvcHBpbmctcGFydGljbGUiOiIifSx7ImZhbWlseSI6IkFtYWdhaSIsImdpdmVuIjoiTWFzYXl1a2kiLCJwYXJzZS1uYW1lcyI6ZmFsc2UsImRyb3BwaW5nLXBhcnRpY2xlIjoiIiwibm9uLWRyb3BwaW5nLXBhcnRpY2xlIjoiIn1dLCJjb250YWluZXItdGl0bGUiOiJUaGUgSm91cm5hbCBvZiBJbW11bm9sb2d5IiwiRE9JIjoiMTAuNDA0OS9qaW1tdW5vbC4xNzAuNC4yMTcwIiwiSVNTTiI6IjAwMjItMTc2NyIsImlzc3VlZCI6eyJkYXRlLXBhcnRzIjpbWzIwMDMsMiwxNV1dfSwicGFnZSI6IjIxNzAtMjE3OCIsImFic3RyYWN0IjoiPHA+UGVtcGhpZ3VzIHZ1bGdhcmlzIChQVikgaXMgYSBsaWZlLXRocmVhdGVuaW5nIGF1dG9pbW11bmUgYmxpc3RlcmluZyBkaXNlYXNlIHRoYXQgaXMgY2F1c2VkIGJ5IElnRyBhdXRvYW50aWJvZGllcyBhZ2FpbnN0IHRoZSBjYWRoZXJpbi10eXBlIGFkaGVzaW9uIG1vbGVjdWxlIGRlc21vZ2xlaW4gKERzZykzLiBQcmV2aW91c2x5LCB3ZSBoYXZlIGdlbmVyYXRlZCBhbiBhY3RpdmUgbW91c2UgbW9kZWwgZm9yIFBWIGJ5IGFkb3B0aXZlIHRyYW5zZmVyIG9mIERzZzPiiJIv4oiSIHNwbGVub2N5dGVzLiBJbiB0aGlzIHN0dWR5LCB3ZSBpc29sYXRlZCBlaWdodCBBSyBzZXJpZXMsIGFudGktRHNnMyBJZ0cgbUFicyBmcm9tIHRoZSBQViBtb3VzZSBtb2RlbCwgYW5kIGV4YW1pbmVkIHRoZWlyIHBhdGhvZ2VuaWMgYWN0aXZpdGllcyBpbiBpbmR1Y3Rpb24gb2YgYmxpc3RlciBmb3JtYXRpb24uIEludHJhcGVyaXRvbmVhbCBpbm9jdWxhdGlvbiBvZiB0aGUgQUsyMyBoeWJyaWRvbWEsIGJ1dCBub3QgdGhlIG90aGVyIEFLIGh5YnJpZG9tYXMsIGluZHVjZWQgdGhlIHZpcnR1YWxseSBpZGVudGljYWwgcGhlbm90eXBlIHRvIHRoYXQgb2YgUFYgbW9kZWwgbWljZSBvciBEc2cz4oiSL+KIkiBtaWNlIHdpdGggdHlwaWNhbCBoaXN0b2xvZ3kgb2YgUFYuIEVwaXRvcGUgbWFwcGluZyB3aXRoIGRvbWFpbi1zd2FwcGVkIGFuZCBwb2ludC1tdXRhdGVkIERzZzEvRHNnMyBtb2xlY3VsZXMgcmV2ZWFsZWQgdGhhdCBBSzIzIHJlY29nbml6ZWQgYSBjYWxjaXVtLWRlcGVuZGVudCBjb25mb3JtYXRpb25hbCBlcGl0b3BlIG9uIERzZzMsIHdoaWNoIGNvbnNpc3RlZCBvZiB0aGUgVjMsIEs3LCBQOCwgYW5kIEQ1OSBEc2czLXNwZWNpZmljIHJlc2lkdWVzIHRoYXQgZm9ybWVkIHRoZSBhZGhlc2l2ZSBpbnRlcmZhY2UgYmV0d2VlbiBqdXh0YXBvc2VkIERzZywgYXMgcHJlZGljdGVkIGJ5IHRoZSBjcnlzdGFsIHN0cnVjdHVyZS4gVGhlIGVwaXRvcGVzIG9mIHRoZSBtQWJzIHRoYXQgZmFpbGVkIHRvIHNob3cgYXBwYXJlbnQgcGF0aG9nZW5pYyBhY3Rpdml0eSB3ZXJlIG1hcHBlZCBpbiB0aGUgbWlkZGxlIHRvIGNhcmJveHlsLXRlcm1pbmFsIGV4dHJhY2VsbHVsYXIgcmVnaW9uIG9mIERzZzMsIHdoZXJlIG5vIGRpcmVjdCBpbnRlcm1vbGVjdWxhciBpbnRlcmFjdGlvbiB3YXMgcHJlZGljdGVkLiBUaGVzZSBmaW5kaW5ncyBkZW1vbnN0cmF0ZSB0aGUgcGF0aG9nZW5pYyBoZXRlcm9nZW5laXR5IGFtb25nIGFudGktRHNnMyBJZ0cgQWJzIGR1ZSB0byB0aGVpciBlcGl0b3BlcywgYW5kIHN1Z2dlc3QgdGhlIGRpcmVjdCBpbmhpYml0aW9uIG9mIGFkaGVzaXZlIGludGVyYWN0aW9uIG9mIERzZyBhcyBhbiBpbml0aWFsIG1vbGVjdWxhciBldmVudCBvZiBibGlzdGVyIGZvcm1hdGlvbiBpbiBwZW1waGlndXMuPC9wPiIsImlzc3VlIjoiNCIsInZvbHVtZSI6IjE3MCIsImNvbnRhaW5lci10aXRsZS1zaG9ydCI6IiJ9LCJpc1RlbXBvcmFyeSI6ZmFsc2V9XX0="/>
          <w:id w:val="642697158"/>
          <w:placeholder>
            <w:docPart w:val="0C2A84EECABA4063A18DC276E9C150C6"/>
          </w:placeholder>
        </w:sdtPr>
        <w:sdtEndPr/>
        <w:sdtContent>
          <w:r w:rsidRPr="000B7B1D">
            <w:rPr>
              <w:rFonts w:ascii="Times New Roman" w:hAnsi="Times New Roman" w:cs="Times New Roman"/>
              <w:color w:val="000000"/>
              <w:sz w:val="24"/>
              <w:szCs w:val="24"/>
              <w:vertAlign w:val="superscript"/>
            </w:rPr>
            <w:t>8</w:t>
          </w:r>
        </w:sdtContent>
      </w:sdt>
      <w:r w:rsidRPr="000B7B1D">
        <w:rPr>
          <w:rFonts w:ascii="Times New Roman" w:hAnsi="Times New Roman" w:cs="Times New Roman"/>
          <w:sz w:val="24"/>
          <w:szCs w:val="24"/>
        </w:rPr>
        <w:t xml:space="preserve">, and human IgG isolated from plasma of healthy volunteers served as negative control. Keratinocyte sheets released by </w:t>
      </w:r>
      <w:proofErr w:type="spellStart"/>
      <w:r w:rsidRPr="000B7B1D">
        <w:rPr>
          <w:rFonts w:ascii="Times New Roman" w:hAnsi="Times New Roman" w:cs="Times New Roman"/>
          <w:sz w:val="24"/>
          <w:szCs w:val="24"/>
        </w:rPr>
        <w:t>dispase</w:t>
      </w:r>
      <w:proofErr w:type="spellEnd"/>
      <w:r w:rsidRPr="000B7B1D">
        <w:rPr>
          <w:rFonts w:ascii="Times New Roman" w:hAnsi="Times New Roman" w:cs="Times New Roman"/>
          <w:sz w:val="24"/>
          <w:szCs w:val="24"/>
        </w:rPr>
        <w:t xml:space="preserve"> were subjected to mechanical stress by repeated pipetting. The number of fragments was quantified by two independent investigators in a blinded mode, and the mean of three replicates per sample was assessed in Part A (five patients, baseline samples before TPC administration, day 1-1 h). For Part B, three to five patient samples per time point were analyzed. Unblinding of the samples was done only after completion of data analysis. The interrater variability was calculated, and mean values derived from both were used for the statistical analysis.</w:t>
      </w:r>
    </w:p>
    <w:p w14:paraId="316DB06F" w14:textId="087D6C0E" w:rsidR="00B81EAC" w:rsidRDefault="000B7B1D" w:rsidP="00B81EAC">
      <w:pPr>
        <w:spacing w:after="0" w:line="480" w:lineRule="auto"/>
        <w:jc w:val="both"/>
        <w:rPr>
          <w:rFonts w:ascii="Times New Roman" w:hAnsi="Times New Roman" w:cs="Times New Roman"/>
          <w:sz w:val="24"/>
          <w:szCs w:val="24"/>
        </w:rPr>
      </w:pPr>
      <w:r w:rsidRPr="000B7B1D">
        <w:rPr>
          <w:rFonts w:ascii="Times New Roman" w:hAnsi="Times New Roman" w:cs="Times New Roman"/>
          <w:sz w:val="24"/>
          <w:szCs w:val="24"/>
        </w:rPr>
        <w:t>A two-fold difference between the negative and positive controls was considered acceptable. Due to the variation in the absolute number of fragments between the different patients, the data were normalized and expressed as relative fragmentation. The number of fragments obtained after treatment with IgG from the baseline sample (day1-1 h before TPC administration) of each patient was set to 1.0, and the remaining time poin</w:t>
      </w:r>
      <w:r w:rsidR="00B81EAC">
        <w:rPr>
          <w:rFonts w:ascii="Times New Roman" w:hAnsi="Times New Roman" w:cs="Times New Roman"/>
          <w:sz w:val="24"/>
          <w:szCs w:val="24"/>
        </w:rPr>
        <w:t>ts were normalized accordingly.</w:t>
      </w:r>
    </w:p>
    <w:p w14:paraId="4EA70D6E" w14:textId="79BB2593" w:rsidR="003F427C" w:rsidRDefault="003F427C" w:rsidP="00B81EAC">
      <w:pPr>
        <w:spacing w:after="0" w:line="480" w:lineRule="auto"/>
        <w:jc w:val="both"/>
        <w:rPr>
          <w:rFonts w:ascii="Times New Roman" w:hAnsi="Times New Roman" w:cs="Times New Roman"/>
          <w:sz w:val="24"/>
          <w:szCs w:val="24"/>
        </w:rPr>
      </w:pPr>
    </w:p>
    <w:p w14:paraId="1B9D78D5" w14:textId="55A6B570" w:rsidR="003F427C" w:rsidRPr="00D601AD" w:rsidRDefault="003F427C" w:rsidP="005170C6">
      <w:pPr>
        <w:pStyle w:val="Default"/>
        <w:snapToGrid w:val="0"/>
        <w:spacing w:line="480" w:lineRule="auto"/>
        <w:jc w:val="both"/>
        <w:rPr>
          <w:rFonts w:ascii="Times New Roman" w:hAnsi="Times New Roman" w:cs="Times New Roman"/>
        </w:rPr>
      </w:pPr>
      <w:r>
        <w:rPr>
          <w:rFonts w:ascii="Times New Roman" w:hAnsi="Times New Roman" w:cs="Times New Roman"/>
          <w:b/>
          <w:lang w:val="en-US"/>
        </w:rPr>
        <w:t>Statistical analysis</w:t>
      </w:r>
      <w:r>
        <w:rPr>
          <w:rFonts w:ascii="Times New Roman" w:hAnsi="Times New Roman" w:cs="Times New Roman"/>
          <w:lang w:val="en-US"/>
        </w:rPr>
        <w:t>—The statistical tests used for individual preclinical experiments were specified in the figure legends. The statistical analyses of primary and secondary end points of the trial were descriptive, while paired t-test was used to evaluate statistical significance of percent changes in means from baseline (day 1-1h) at each post-baseline timepoint for exploratory PD parameters by combined dose groups. For multiple comparisons in the MDA, ANOVA with Dunnett’s post-test was used to compare IgG dissociating capacity at multiple post-treatment timepoints with the baseline (day 1-1h). P &lt; 0.05 was considered statistically significant. Statistical analyses for the experimental data were performed using GraphPad Prism version 10.3.1 (GraphPad Software, La Jolla, CA, USA).</w:t>
      </w:r>
    </w:p>
    <w:p w14:paraId="5A07A6D7" w14:textId="77777777" w:rsidR="00B81EAC" w:rsidRDefault="00B81EAC">
      <w:pPr>
        <w:rPr>
          <w:rFonts w:ascii="Times New Roman" w:hAnsi="Times New Roman" w:cs="Times New Roman"/>
          <w:sz w:val="24"/>
          <w:szCs w:val="24"/>
        </w:rPr>
      </w:pPr>
      <w:r>
        <w:rPr>
          <w:rFonts w:ascii="Times New Roman" w:hAnsi="Times New Roman" w:cs="Times New Roman"/>
          <w:sz w:val="24"/>
          <w:szCs w:val="24"/>
        </w:rPr>
        <w:br w:type="page"/>
      </w:r>
    </w:p>
    <w:p w14:paraId="6F519827" w14:textId="77777777" w:rsidR="000B7B1D" w:rsidRDefault="000B7B1D" w:rsidP="00B81EAC">
      <w:pPr>
        <w:spacing w:line="480" w:lineRule="auto"/>
        <w:jc w:val="both"/>
        <w:rPr>
          <w:rFonts w:ascii="Times New Roman" w:hAnsi="Times New Roman" w:cs="Times New Roman"/>
          <w:b/>
          <w:bCs/>
          <w:sz w:val="24"/>
          <w:szCs w:val="24"/>
        </w:rPr>
      </w:pPr>
      <w:r w:rsidRPr="000B7B1D">
        <w:rPr>
          <w:rFonts w:ascii="Times New Roman" w:hAnsi="Times New Roman" w:cs="Times New Roman"/>
          <w:b/>
          <w:bCs/>
          <w:sz w:val="24"/>
          <w:szCs w:val="24"/>
        </w:rPr>
        <w:t>Supplementary References</w:t>
      </w:r>
    </w:p>
    <w:p w14:paraId="37AC3B3A" w14:textId="6568FEA1"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proofErr w:type="spellStart"/>
      <w:r w:rsidRPr="00613492">
        <w:rPr>
          <w:rFonts w:ascii="Times New Roman" w:eastAsia="Times New Roman" w:hAnsi="Times New Roman" w:cs="Times New Roman"/>
          <w:sz w:val="24"/>
          <w:szCs w:val="24"/>
        </w:rPr>
        <w:t>Carambia</w:t>
      </w:r>
      <w:proofErr w:type="spellEnd"/>
      <w:r w:rsidRPr="00613492">
        <w:rPr>
          <w:rFonts w:ascii="Times New Roman" w:eastAsia="Times New Roman" w:hAnsi="Times New Roman" w:cs="Times New Roman"/>
          <w:sz w:val="24"/>
          <w:szCs w:val="24"/>
        </w:rPr>
        <w:t xml:space="preserve"> A, </w:t>
      </w:r>
      <w:proofErr w:type="spellStart"/>
      <w:r w:rsidRPr="00613492">
        <w:rPr>
          <w:rFonts w:ascii="Times New Roman" w:eastAsia="Times New Roman" w:hAnsi="Times New Roman" w:cs="Times New Roman"/>
          <w:sz w:val="24"/>
          <w:szCs w:val="24"/>
        </w:rPr>
        <w:t>Gottwick</w:t>
      </w:r>
      <w:proofErr w:type="spellEnd"/>
      <w:r w:rsidRPr="00613492">
        <w:rPr>
          <w:rFonts w:ascii="Times New Roman" w:eastAsia="Times New Roman" w:hAnsi="Times New Roman" w:cs="Times New Roman"/>
          <w:sz w:val="24"/>
          <w:szCs w:val="24"/>
        </w:rPr>
        <w:t xml:space="preserve"> C, </w:t>
      </w:r>
      <w:proofErr w:type="spellStart"/>
      <w:r w:rsidRPr="00613492">
        <w:rPr>
          <w:rFonts w:ascii="Times New Roman" w:eastAsia="Times New Roman" w:hAnsi="Times New Roman" w:cs="Times New Roman"/>
          <w:sz w:val="24"/>
          <w:szCs w:val="24"/>
        </w:rPr>
        <w:t>Schwinge</w:t>
      </w:r>
      <w:proofErr w:type="spellEnd"/>
      <w:r w:rsidRPr="00613492">
        <w:rPr>
          <w:rFonts w:ascii="Times New Roman" w:eastAsia="Times New Roman" w:hAnsi="Times New Roman" w:cs="Times New Roman"/>
          <w:sz w:val="24"/>
          <w:szCs w:val="24"/>
        </w:rPr>
        <w:t xml:space="preserve"> D, Stein S, </w:t>
      </w:r>
      <w:proofErr w:type="spellStart"/>
      <w:r w:rsidRPr="00613492">
        <w:rPr>
          <w:rFonts w:ascii="Times New Roman" w:eastAsia="Times New Roman" w:hAnsi="Times New Roman" w:cs="Times New Roman"/>
          <w:sz w:val="24"/>
          <w:szCs w:val="24"/>
        </w:rPr>
        <w:t>Digigow</w:t>
      </w:r>
      <w:proofErr w:type="spellEnd"/>
      <w:r w:rsidRPr="00613492">
        <w:rPr>
          <w:rFonts w:ascii="Times New Roman" w:eastAsia="Times New Roman" w:hAnsi="Times New Roman" w:cs="Times New Roman"/>
          <w:sz w:val="24"/>
          <w:szCs w:val="24"/>
        </w:rPr>
        <w:t xml:space="preserve"> R, </w:t>
      </w:r>
      <w:proofErr w:type="spellStart"/>
      <w:r w:rsidRPr="00613492">
        <w:rPr>
          <w:rFonts w:ascii="Times New Roman" w:eastAsia="Times New Roman" w:hAnsi="Times New Roman" w:cs="Times New Roman"/>
          <w:sz w:val="24"/>
          <w:szCs w:val="24"/>
        </w:rPr>
        <w:t>Şeleci</w:t>
      </w:r>
      <w:proofErr w:type="spellEnd"/>
      <w:r w:rsidRPr="00613492">
        <w:rPr>
          <w:rFonts w:ascii="Times New Roman" w:eastAsia="Times New Roman" w:hAnsi="Times New Roman" w:cs="Times New Roman"/>
          <w:sz w:val="24"/>
          <w:szCs w:val="24"/>
        </w:rPr>
        <w:t xml:space="preserve"> M, et al. Nanoparticle‐mediated targeting of autoantigen peptide to cross‐presenting liver sinusoidal endothelial cells protects from CD8 T‐cell‐driven autoimmune cholangitis. Immunology. 2021 Apr 7;162(4):452–63. </w:t>
      </w:r>
    </w:p>
    <w:p w14:paraId="6041EF67" w14:textId="77777777"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r w:rsidRPr="00B81EAC">
        <w:rPr>
          <w:rFonts w:ascii="Times New Roman" w:eastAsia="Times New Roman" w:hAnsi="Times New Roman" w:cs="Times New Roman"/>
          <w:sz w:val="24"/>
          <w:szCs w:val="24"/>
          <w:lang w:val="de-DE"/>
        </w:rPr>
        <w:t xml:space="preserve">Wucherpfennig KW, </w:t>
      </w:r>
      <w:proofErr w:type="spellStart"/>
      <w:r w:rsidRPr="00B81EAC">
        <w:rPr>
          <w:rFonts w:ascii="Times New Roman" w:eastAsia="Times New Roman" w:hAnsi="Times New Roman" w:cs="Times New Roman"/>
          <w:sz w:val="24"/>
          <w:szCs w:val="24"/>
          <w:lang w:val="de-DE"/>
        </w:rPr>
        <w:t>Yu</w:t>
      </w:r>
      <w:proofErr w:type="spellEnd"/>
      <w:r w:rsidRPr="00B81EAC">
        <w:rPr>
          <w:rFonts w:ascii="Times New Roman" w:eastAsia="Times New Roman" w:hAnsi="Times New Roman" w:cs="Times New Roman"/>
          <w:sz w:val="24"/>
          <w:szCs w:val="24"/>
          <w:lang w:val="de-DE"/>
        </w:rPr>
        <w:t xml:space="preserve"> B, </w:t>
      </w:r>
      <w:proofErr w:type="spellStart"/>
      <w:r w:rsidRPr="00B81EAC">
        <w:rPr>
          <w:rFonts w:ascii="Times New Roman" w:eastAsia="Times New Roman" w:hAnsi="Times New Roman" w:cs="Times New Roman"/>
          <w:sz w:val="24"/>
          <w:szCs w:val="24"/>
          <w:lang w:val="de-DE"/>
        </w:rPr>
        <w:t>Bhol</w:t>
      </w:r>
      <w:proofErr w:type="spellEnd"/>
      <w:r w:rsidRPr="00B81EAC">
        <w:rPr>
          <w:rFonts w:ascii="Times New Roman" w:eastAsia="Times New Roman" w:hAnsi="Times New Roman" w:cs="Times New Roman"/>
          <w:sz w:val="24"/>
          <w:szCs w:val="24"/>
          <w:lang w:val="de-DE"/>
        </w:rPr>
        <w:t xml:space="preserve"> K, Monos DS, Argyris E, Karr RW, et al. </w:t>
      </w:r>
      <w:r w:rsidRPr="00613492">
        <w:rPr>
          <w:rFonts w:ascii="Times New Roman" w:eastAsia="Times New Roman" w:hAnsi="Times New Roman" w:cs="Times New Roman"/>
          <w:sz w:val="24"/>
          <w:szCs w:val="24"/>
        </w:rPr>
        <w:t xml:space="preserve">Structural basis for major histocompatibility complex (MHC)-linked susceptibility to autoimmunity: charged residues of a single MHC binding pocket confer selective presentation of self-peptides in pemphigus vulgaris. </w:t>
      </w:r>
      <w:proofErr w:type="spellStart"/>
      <w:r w:rsidRPr="00613492">
        <w:rPr>
          <w:rFonts w:ascii="Times New Roman" w:eastAsia="Times New Roman" w:hAnsi="Times New Roman" w:cs="Times New Roman"/>
          <w:sz w:val="24"/>
          <w:szCs w:val="24"/>
        </w:rPr>
        <w:t>Proc</w:t>
      </w:r>
      <w:proofErr w:type="spellEnd"/>
      <w:r w:rsidRPr="00613492">
        <w:rPr>
          <w:rFonts w:ascii="Times New Roman" w:eastAsia="Times New Roman" w:hAnsi="Times New Roman" w:cs="Times New Roman"/>
          <w:sz w:val="24"/>
          <w:szCs w:val="24"/>
        </w:rPr>
        <w:t xml:space="preserve"> Natl </w:t>
      </w:r>
      <w:proofErr w:type="spellStart"/>
      <w:r w:rsidRPr="00613492">
        <w:rPr>
          <w:rFonts w:ascii="Times New Roman" w:eastAsia="Times New Roman" w:hAnsi="Times New Roman" w:cs="Times New Roman"/>
          <w:sz w:val="24"/>
          <w:szCs w:val="24"/>
        </w:rPr>
        <w:t>Acad</w:t>
      </w:r>
      <w:proofErr w:type="spellEnd"/>
      <w:r w:rsidRPr="00613492">
        <w:rPr>
          <w:rFonts w:ascii="Times New Roman" w:eastAsia="Times New Roman" w:hAnsi="Times New Roman" w:cs="Times New Roman"/>
          <w:sz w:val="24"/>
          <w:szCs w:val="24"/>
        </w:rPr>
        <w:t xml:space="preserve"> </w:t>
      </w:r>
      <w:proofErr w:type="spellStart"/>
      <w:r w:rsidRPr="00613492">
        <w:rPr>
          <w:rFonts w:ascii="Times New Roman" w:eastAsia="Times New Roman" w:hAnsi="Times New Roman" w:cs="Times New Roman"/>
          <w:sz w:val="24"/>
          <w:szCs w:val="24"/>
        </w:rPr>
        <w:t>Sci</w:t>
      </w:r>
      <w:proofErr w:type="spellEnd"/>
      <w:r w:rsidRPr="00613492">
        <w:rPr>
          <w:rFonts w:ascii="Times New Roman" w:eastAsia="Times New Roman" w:hAnsi="Times New Roman" w:cs="Times New Roman"/>
          <w:sz w:val="24"/>
          <w:szCs w:val="24"/>
        </w:rPr>
        <w:t xml:space="preserve"> U S A. 1995 Dec 5;92(25):11935–9. </w:t>
      </w:r>
    </w:p>
    <w:p w14:paraId="7CEE5B1B" w14:textId="77777777"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proofErr w:type="spellStart"/>
      <w:r w:rsidRPr="00B81EAC">
        <w:rPr>
          <w:rFonts w:ascii="Times New Roman" w:eastAsia="Times New Roman" w:hAnsi="Times New Roman" w:cs="Times New Roman"/>
          <w:sz w:val="24"/>
          <w:szCs w:val="24"/>
          <w:lang w:val="de-DE"/>
        </w:rPr>
        <w:t>Veldman</w:t>
      </w:r>
      <w:proofErr w:type="spellEnd"/>
      <w:r w:rsidRPr="00B81EAC">
        <w:rPr>
          <w:rFonts w:ascii="Times New Roman" w:eastAsia="Times New Roman" w:hAnsi="Times New Roman" w:cs="Times New Roman"/>
          <w:sz w:val="24"/>
          <w:szCs w:val="24"/>
          <w:lang w:val="de-DE"/>
        </w:rPr>
        <w:t xml:space="preserve"> CM, Gebhard KL, </w:t>
      </w:r>
      <w:proofErr w:type="spellStart"/>
      <w:r w:rsidRPr="00B81EAC">
        <w:rPr>
          <w:rFonts w:ascii="Times New Roman" w:eastAsia="Times New Roman" w:hAnsi="Times New Roman" w:cs="Times New Roman"/>
          <w:sz w:val="24"/>
          <w:szCs w:val="24"/>
          <w:lang w:val="de-DE"/>
        </w:rPr>
        <w:t>Uter</w:t>
      </w:r>
      <w:proofErr w:type="spellEnd"/>
      <w:r w:rsidRPr="00B81EAC">
        <w:rPr>
          <w:rFonts w:ascii="Times New Roman" w:eastAsia="Times New Roman" w:hAnsi="Times New Roman" w:cs="Times New Roman"/>
          <w:sz w:val="24"/>
          <w:szCs w:val="24"/>
          <w:lang w:val="de-DE"/>
        </w:rPr>
        <w:t xml:space="preserve"> W, </w:t>
      </w:r>
      <w:proofErr w:type="spellStart"/>
      <w:r w:rsidRPr="00B81EAC">
        <w:rPr>
          <w:rFonts w:ascii="Times New Roman" w:eastAsia="Times New Roman" w:hAnsi="Times New Roman" w:cs="Times New Roman"/>
          <w:sz w:val="24"/>
          <w:szCs w:val="24"/>
          <w:lang w:val="de-DE"/>
        </w:rPr>
        <w:t>Wassmuth</w:t>
      </w:r>
      <w:proofErr w:type="spellEnd"/>
      <w:r w:rsidRPr="00B81EAC">
        <w:rPr>
          <w:rFonts w:ascii="Times New Roman" w:eastAsia="Times New Roman" w:hAnsi="Times New Roman" w:cs="Times New Roman"/>
          <w:sz w:val="24"/>
          <w:szCs w:val="24"/>
          <w:lang w:val="de-DE"/>
        </w:rPr>
        <w:t xml:space="preserve"> R, </w:t>
      </w:r>
      <w:proofErr w:type="spellStart"/>
      <w:r w:rsidRPr="00B81EAC">
        <w:rPr>
          <w:rFonts w:ascii="Times New Roman" w:eastAsia="Times New Roman" w:hAnsi="Times New Roman" w:cs="Times New Roman"/>
          <w:sz w:val="24"/>
          <w:szCs w:val="24"/>
          <w:lang w:val="de-DE"/>
        </w:rPr>
        <w:t>Grötzinger</w:t>
      </w:r>
      <w:proofErr w:type="spellEnd"/>
      <w:r w:rsidRPr="00B81EAC">
        <w:rPr>
          <w:rFonts w:ascii="Times New Roman" w:eastAsia="Times New Roman" w:hAnsi="Times New Roman" w:cs="Times New Roman"/>
          <w:sz w:val="24"/>
          <w:szCs w:val="24"/>
          <w:lang w:val="de-DE"/>
        </w:rPr>
        <w:t xml:space="preserve"> J, Schultz E, et al. </w:t>
      </w:r>
      <w:r w:rsidRPr="00613492">
        <w:rPr>
          <w:rFonts w:ascii="Times New Roman" w:eastAsia="Times New Roman" w:hAnsi="Times New Roman" w:cs="Times New Roman"/>
          <w:sz w:val="24"/>
          <w:szCs w:val="24"/>
        </w:rPr>
        <w:t xml:space="preserve">T Cell Recognition of Desmoglein 3 Peptides in Patients with Pemphigus Vulgaris and Healthy Individuals. J Immunol. 2004 Mar 15;172(6):3883–92. </w:t>
      </w:r>
    </w:p>
    <w:p w14:paraId="43014EA0" w14:textId="77777777"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r w:rsidRPr="00B81EAC">
        <w:rPr>
          <w:rFonts w:ascii="Times New Roman" w:eastAsia="Times New Roman" w:hAnsi="Times New Roman" w:cs="Times New Roman"/>
          <w:sz w:val="24"/>
          <w:szCs w:val="24"/>
          <w:lang w:val="de-DE"/>
        </w:rPr>
        <w:t xml:space="preserve">Müller R, Svoboda V, Wenzel E, Gebert S, </w:t>
      </w:r>
      <w:proofErr w:type="spellStart"/>
      <w:r w:rsidRPr="00B81EAC">
        <w:rPr>
          <w:rFonts w:ascii="Times New Roman" w:eastAsia="Times New Roman" w:hAnsi="Times New Roman" w:cs="Times New Roman"/>
          <w:sz w:val="24"/>
          <w:szCs w:val="24"/>
          <w:lang w:val="de-DE"/>
        </w:rPr>
        <w:t>Hunzelmann</w:t>
      </w:r>
      <w:proofErr w:type="spellEnd"/>
      <w:r w:rsidRPr="00B81EAC">
        <w:rPr>
          <w:rFonts w:ascii="Times New Roman" w:eastAsia="Times New Roman" w:hAnsi="Times New Roman" w:cs="Times New Roman"/>
          <w:sz w:val="24"/>
          <w:szCs w:val="24"/>
          <w:lang w:val="de-DE"/>
        </w:rPr>
        <w:t xml:space="preserve"> N, Müller H, et al. </w:t>
      </w:r>
      <w:r w:rsidRPr="00613492">
        <w:rPr>
          <w:rFonts w:ascii="Times New Roman" w:eastAsia="Times New Roman" w:hAnsi="Times New Roman" w:cs="Times New Roman"/>
          <w:sz w:val="24"/>
          <w:szCs w:val="24"/>
        </w:rPr>
        <w:t xml:space="preserve">IgG reactivity against non‐conformational NH </w:t>
      </w:r>
      <w:r w:rsidRPr="00613492">
        <w:rPr>
          <w:rFonts w:ascii="Times New Roman" w:eastAsia="Times New Roman" w:hAnsi="Times New Roman" w:cs="Times New Roman"/>
          <w:sz w:val="24"/>
          <w:szCs w:val="24"/>
          <w:vertAlign w:val="subscript"/>
        </w:rPr>
        <w:t>2</w:t>
      </w:r>
      <w:r w:rsidRPr="00613492">
        <w:rPr>
          <w:rFonts w:ascii="Times New Roman" w:eastAsia="Times New Roman" w:hAnsi="Times New Roman" w:cs="Times New Roman"/>
          <w:sz w:val="24"/>
          <w:szCs w:val="24"/>
        </w:rPr>
        <w:t xml:space="preserve"> ‐terminal epitopes of the desmoglein 3 ectodomain relates to clinical activity and phenotype of pemphigus vulgaris. Exp Dermatol. 2006 Aug 30;15(8):606–14. </w:t>
      </w:r>
    </w:p>
    <w:p w14:paraId="7CC4AFF2" w14:textId="77777777"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r w:rsidRPr="00B81EAC">
        <w:rPr>
          <w:rFonts w:ascii="Times New Roman" w:eastAsia="Times New Roman" w:hAnsi="Times New Roman" w:cs="Times New Roman"/>
          <w:sz w:val="24"/>
          <w:szCs w:val="24"/>
          <w:lang w:val="de-DE"/>
        </w:rPr>
        <w:t xml:space="preserve">Schmidt E, </w:t>
      </w:r>
      <w:proofErr w:type="spellStart"/>
      <w:r w:rsidRPr="00B81EAC">
        <w:rPr>
          <w:rFonts w:ascii="Times New Roman" w:eastAsia="Times New Roman" w:hAnsi="Times New Roman" w:cs="Times New Roman"/>
          <w:sz w:val="24"/>
          <w:szCs w:val="24"/>
          <w:lang w:val="de-DE"/>
        </w:rPr>
        <w:t>Dähnrich</w:t>
      </w:r>
      <w:proofErr w:type="spellEnd"/>
      <w:r w:rsidRPr="00B81EAC">
        <w:rPr>
          <w:rFonts w:ascii="Times New Roman" w:eastAsia="Times New Roman" w:hAnsi="Times New Roman" w:cs="Times New Roman"/>
          <w:sz w:val="24"/>
          <w:szCs w:val="24"/>
          <w:lang w:val="de-DE"/>
        </w:rPr>
        <w:t xml:space="preserve"> C, Rosemann A, Probst C, </w:t>
      </w:r>
      <w:proofErr w:type="spellStart"/>
      <w:r w:rsidRPr="00B81EAC">
        <w:rPr>
          <w:rFonts w:ascii="Times New Roman" w:eastAsia="Times New Roman" w:hAnsi="Times New Roman" w:cs="Times New Roman"/>
          <w:sz w:val="24"/>
          <w:szCs w:val="24"/>
          <w:lang w:val="de-DE"/>
        </w:rPr>
        <w:t>Komorowski</w:t>
      </w:r>
      <w:proofErr w:type="spellEnd"/>
      <w:r w:rsidRPr="00B81EAC">
        <w:rPr>
          <w:rFonts w:ascii="Times New Roman" w:eastAsia="Times New Roman" w:hAnsi="Times New Roman" w:cs="Times New Roman"/>
          <w:sz w:val="24"/>
          <w:szCs w:val="24"/>
          <w:lang w:val="de-DE"/>
        </w:rPr>
        <w:t xml:space="preserve"> L, </w:t>
      </w:r>
      <w:proofErr w:type="spellStart"/>
      <w:r w:rsidRPr="00B81EAC">
        <w:rPr>
          <w:rFonts w:ascii="Times New Roman" w:eastAsia="Times New Roman" w:hAnsi="Times New Roman" w:cs="Times New Roman"/>
          <w:sz w:val="24"/>
          <w:szCs w:val="24"/>
          <w:lang w:val="de-DE"/>
        </w:rPr>
        <w:t>Saschenbrecker</w:t>
      </w:r>
      <w:proofErr w:type="spellEnd"/>
      <w:r w:rsidRPr="00B81EAC">
        <w:rPr>
          <w:rFonts w:ascii="Times New Roman" w:eastAsia="Times New Roman" w:hAnsi="Times New Roman" w:cs="Times New Roman"/>
          <w:sz w:val="24"/>
          <w:szCs w:val="24"/>
          <w:lang w:val="de-DE"/>
        </w:rPr>
        <w:t xml:space="preserve"> S, et al. </w:t>
      </w:r>
      <w:r w:rsidRPr="00613492">
        <w:rPr>
          <w:rFonts w:ascii="Times New Roman" w:eastAsia="Times New Roman" w:hAnsi="Times New Roman" w:cs="Times New Roman"/>
          <w:sz w:val="24"/>
          <w:szCs w:val="24"/>
        </w:rPr>
        <w:t xml:space="preserve">Novel ELISA systems for antibodies to desmoglein 1 and 3: correlation of disease activity with serum autoantibody levels in individual pemphigus patients. Exp Dermatol. 2010 May 12;19(5):458–63. </w:t>
      </w:r>
    </w:p>
    <w:p w14:paraId="77E04D9C" w14:textId="77777777"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proofErr w:type="spellStart"/>
      <w:r w:rsidRPr="00B81EAC">
        <w:rPr>
          <w:rFonts w:ascii="Times New Roman" w:eastAsia="Times New Roman" w:hAnsi="Times New Roman" w:cs="Times New Roman"/>
          <w:sz w:val="24"/>
          <w:szCs w:val="24"/>
          <w:lang w:val="de-DE"/>
        </w:rPr>
        <w:t>Didona</w:t>
      </w:r>
      <w:proofErr w:type="spellEnd"/>
      <w:r w:rsidRPr="00B81EAC">
        <w:rPr>
          <w:rFonts w:ascii="Times New Roman" w:eastAsia="Times New Roman" w:hAnsi="Times New Roman" w:cs="Times New Roman"/>
          <w:sz w:val="24"/>
          <w:szCs w:val="24"/>
          <w:lang w:val="de-DE"/>
        </w:rPr>
        <w:t xml:space="preserve"> D, </w:t>
      </w:r>
      <w:proofErr w:type="spellStart"/>
      <w:r w:rsidRPr="00B81EAC">
        <w:rPr>
          <w:rFonts w:ascii="Times New Roman" w:eastAsia="Times New Roman" w:hAnsi="Times New Roman" w:cs="Times New Roman"/>
          <w:sz w:val="24"/>
          <w:szCs w:val="24"/>
          <w:lang w:val="de-DE"/>
        </w:rPr>
        <w:t>Scarsella</w:t>
      </w:r>
      <w:proofErr w:type="spellEnd"/>
      <w:r w:rsidRPr="00B81EAC">
        <w:rPr>
          <w:rFonts w:ascii="Times New Roman" w:eastAsia="Times New Roman" w:hAnsi="Times New Roman" w:cs="Times New Roman"/>
          <w:sz w:val="24"/>
          <w:szCs w:val="24"/>
          <w:lang w:val="de-DE"/>
        </w:rPr>
        <w:t xml:space="preserve"> L, </w:t>
      </w:r>
      <w:proofErr w:type="spellStart"/>
      <w:r w:rsidRPr="00B81EAC">
        <w:rPr>
          <w:rFonts w:ascii="Times New Roman" w:eastAsia="Times New Roman" w:hAnsi="Times New Roman" w:cs="Times New Roman"/>
          <w:sz w:val="24"/>
          <w:szCs w:val="24"/>
          <w:lang w:val="de-DE"/>
        </w:rPr>
        <w:t>Hudemann</w:t>
      </w:r>
      <w:proofErr w:type="spellEnd"/>
      <w:r w:rsidRPr="00B81EAC">
        <w:rPr>
          <w:rFonts w:ascii="Times New Roman" w:eastAsia="Times New Roman" w:hAnsi="Times New Roman" w:cs="Times New Roman"/>
          <w:sz w:val="24"/>
          <w:szCs w:val="24"/>
          <w:lang w:val="de-DE"/>
        </w:rPr>
        <w:t xml:space="preserve"> C, Volkmann K, Zimmer CL, Beckert B, et al. </w:t>
      </w:r>
      <w:r w:rsidRPr="00613492">
        <w:rPr>
          <w:rFonts w:ascii="Times New Roman" w:eastAsia="Times New Roman" w:hAnsi="Times New Roman" w:cs="Times New Roman"/>
          <w:sz w:val="24"/>
          <w:szCs w:val="24"/>
        </w:rPr>
        <w:t>Type 2 T-Cell Responses against Distinct Epitopes of the Desmoglein 3 Ectodomain in Pemphigus Vulgaris. J Invest</w:t>
      </w:r>
      <w:r w:rsidRPr="00015F45">
        <w:rPr>
          <w:rFonts w:ascii="Times New Roman" w:eastAsia="Times New Roman" w:hAnsi="Times New Roman" w:cs="Times New Roman"/>
          <w:sz w:val="24"/>
          <w:szCs w:val="24"/>
        </w:rPr>
        <w:t xml:space="preserve"> </w:t>
      </w:r>
      <w:r w:rsidRPr="00613492">
        <w:rPr>
          <w:rFonts w:ascii="Times New Roman" w:eastAsia="Times New Roman" w:hAnsi="Times New Roman" w:cs="Times New Roman"/>
          <w:sz w:val="24"/>
          <w:szCs w:val="24"/>
        </w:rPr>
        <w:t xml:space="preserve">Dermatol. 2024 Feb;144(2):263-272.e8. </w:t>
      </w:r>
    </w:p>
    <w:p w14:paraId="0E45D462" w14:textId="77777777" w:rsidR="00015F45" w:rsidRPr="00015F45"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imes New Roman" w:hAnsi="Times New Roman" w:cs="Times New Roman"/>
          <w:sz w:val="24"/>
          <w:szCs w:val="24"/>
        </w:rPr>
      </w:pPr>
      <w:r w:rsidRPr="00613492">
        <w:rPr>
          <w:rFonts w:ascii="Times New Roman" w:eastAsia="Times New Roman" w:hAnsi="Times New Roman" w:cs="Times New Roman"/>
          <w:sz w:val="24"/>
          <w:szCs w:val="24"/>
        </w:rPr>
        <w:t xml:space="preserve">Beckert B, </w:t>
      </w:r>
      <w:proofErr w:type="spellStart"/>
      <w:r w:rsidRPr="00613492">
        <w:rPr>
          <w:rFonts w:ascii="Times New Roman" w:eastAsia="Times New Roman" w:hAnsi="Times New Roman" w:cs="Times New Roman"/>
          <w:sz w:val="24"/>
          <w:szCs w:val="24"/>
        </w:rPr>
        <w:t>Panico</w:t>
      </w:r>
      <w:proofErr w:type="spellEnd"/>
      <w:r w:rsidRPr="00613492">
        <w:rPr>
          <w:rFonts w:ascii="Times New Roman" w:eastAsia="Times New Roman" w:hAnsi="Times New Roman" w:cs="Times New Roman"/>
          <w:sz w:val="24"/>
          <w:szCs w:val="24"/>
        </w:rPr>
        <w:t xml:space="preserve"> F, </w:t>
      </w:r>
      <w:proofErr w:type="spellStart"/>
      <w:r w:rsidRPr="00613492">
        <w:rPr>
          <w:rFonts w:ascii="Times New Roman" w:eastAsia="Times New Roman" w:hAnsi="Times New Roman" w:cs="Times New Roman"/>
          <w:sz w:val="24"/>
          <w:szCs w:val="24"/>
        </w:rPr>
        <w:t>Pollmann</w:t>
      </w:r>
      <w:proofErr w:type="spellEnd"/>
      <w:r w:rsidRPr="00613492">
        <w:rPr>
          <w:rFonts w:ascii="Times New Roman" w:eastAsia="Times New Roman" w:hAnsi="Times New Roman" w:cs="Times New Roman"/>
          <w:sz w:val="24"/>
          <w:szCs w:val="24"/>
        </w:rPr>
        <w:t xml:space="preserve"> R, </w:t>
      </w:r>
      <w:proofErr w:type="spellStart"/>
      <w:r w:rsidRPr="00613492">
        <w:rPr>
          <w:rFonts w:ascii="Times New Roman" w:eastAsia="Times New Roman" w:hAnsi="Times New Roman" w:cs="Times New Roman"/>
          <w:sz w:val="24"/>
          <w:szCs w:val="24"/>
        </w:rPr>
        <w:t>Eming</w:t>
      </w:r>
      <w:proofErr w:type="spellEnd"/>
      <w:r w:rsidRPr="00613492">
        <w:rPr>
          <w:rFonts w:ascii="Times New Roman" w:eastAsia="Times New Roman" w:hAnsi="Times New Roman" w:cs="Times New Roman"/>
          <w:sz w:val="24"/>
          <w:szCs w:val="24"/>
        </w:rPr>
        <w:t xml:space="preserve"> R, Banning A, Tikkanen R. Immortalized Human </w:t>
      </w:r>
      <w:proofErr w:type="spellStart"/>
      <w:r w:rsidRPr="00613492">
        <w:rPr>
          <w:rFonts w:ascii="Times New Roman" w:eastAsia="Times New Roman" w:hAnsi="Times New Roman" w:cs="Times New Roman"/>
          <w:sz w:val="24"/>
          <w:szCs w:val="24"/>
        </w:rPr>
        <w:t>hTert</w:t>
      </w:r>
      <w:proofErr w:type="spellEnd"/>
      <w:r w:rsidRPr="00613492">
        <w:rPr>
          <w:rFonts w:ascii="Times New Roman" w:eastAsia="Times New Roman" w:hAnsi="Times New Roman" w:cs="Times New Roman"/>
          <w:sz w:val="24"/>
          <w:szCs w:val="24"/>
        </w:rPr>
        <w:t xml:space="preserve">/KER-CT Keratinocytes a Model System for Research on </w:t>
      </w:r>
      <w:proofErr w:type="spellStart"/>
      <w:r w:rsidRPr="00613492">
        <w:rPr>
          <w:rFonts w:ascii="Times New Roman" w:eastAsia="Times New Roman" w:hAnsi="Times New Roman" w:cs="Times New Roman"/>
          <w:sz w:val="24"/>
          <w:szCs w:val="24"/>
        </w:rPr>
        <w:t>Desmosomal</w:t>
      </w:r>
      <w:proofErr w:type="spellEnd"/>
      <w:r w:rsidRPr="00613492">
        <w:rPr>
          <w:rFonts w:ascii="Times New Roman" w:eastAsia="Times New Roman" w:hAnsi="Times New Roman" w:cs="Times New Roman"/>
          <w:sz w:val="24"/>
          <w:szCs w:val="24"/>
        </w:rPr>
        <w:t xml:space="preserve"> Adhesion and Pathogenesis of Pemphigus Vulgaris. Int J Mol Sci. 2019 Jun 26;20(13):3113. </w:t>
      </w:r>
    </w:p>
    <w:p w14:paraId="072868CD" w14:textId="4D42FD8B" w:rsidR="000B7B1D" w:rsidRPr="004F7882" w:rsidRDefault="00015F45" w:rsidP="00B81EAC">
      <w:pPr>
        <w:pStyle w:val="Listenabsatz"/>
        <w:numPr>
          <w:ilvl w:val="0"/>
          <w:numId w:val="1"/>
        </w:numPr>
        <w:autoSpaceDE w:val="0"/>
        <w:autoSpaceDN w:val="0"/>
        <w:spacing w:before="120" w:after="120" w:line="480" w:lineRule="auto"/>
        <w:ind w:left="446" w:hanging="446"/>
        <w:contextualSpacing w:val="0"/>
        <w:jc w:val="both"/>
        <w:rPr>
          <w:rFonts w:ascii="Times New Roman" w:eastAsiaTheme="majorEastAsia" w:hAnsi="Times New Roman" w:cs="Times New Roman"/>
          <w:b/>
          <w:bCs/>
          <w:sz w:val="24"/>
          <w:szCs w:val="24"/>
        </w:rPr>
      </w:pPr>
      <w:r w:rsidRPr="00B81EAC">
        <w:rPr>
          <w:rFonts w:ascii="Times New Roman" w:eastAsia="Times New Roman" w:hAnsi="Times New Roman" w:cs="Times New Roman"/>
          <w:sz w:val="24"/>
          <w:szCs w:val="24"/>
          <w:lang w:val="de-DE"/>
        </w:rPr>
        <w:t xml:space="preserve">Tsunoda K, Ota T, Aoki M, Yamada T, Nagai T, Nakagawa T, et al. </w:t>
      </w:r>
      <w:r w:rsidRPr="004F7882">
        <w:rPr>
          <w:rFonts w:ascii="Times New Roman" w:eastAsia="Times New Roman" w:hAnsi="Times New Roman" w:cs="Times New Roman"/>
          <w:sz w:val="24"/>
          <w:szCs w:val="24"/>
        </w:rPr>
        <w:t>Induction of Pemphigus Phenotype by a Mouse Monoclonal Antibody Against the Amino-Terminal Adhesive Interface of Desmoglein 3. J Immunol. 2003 Feb 15;170(4):2170–8.</w:t>
      </w:r>
      <w:r w:rsidRPr="004F7882">
        <w:rPr>
          <w:rFonts w:ascii="Times New Roman" w:eastAsiaTheme="majorEastAsia" w:hAnsi="Times New Roman" w:cs="Times New Roman"/>
          <w:b/>
          <w:bCs/>
          <w:sz w:val="24"/>
          <w:szCs w:val="24"/>
        </w:rPr>
        <w:br w:type="page"/>
      </w:r>
    </w:p>
    <w:p w14:paraId="2FADA059" w14:textId="112710B2" w:rsidR="000B7B1D" w:rsidRPr="00B81EAC" w:rsidRDefault="000B7B1D" w:rsidP="00B81EAC">
      <w:pPr>
        <w:spacing w:after="0" w:line="480" w:lineRule="auto"/>
        <w:jc w:val="both"/>
        <w:rPr>
          <w:rFonts w:ascii="Times New Roman" w:hAnsi="Times New Roman" w:cs="Times New Roman"/>
          <w:b/>
          <w:sz w:val="24"/>
          <w:szCs w:val="24"/>
        </w:rPr>
      </w:pPr>
      <w:r w:rsidRPr="00B81EAC">
        <w:rPr>
          <w:rFonts w:ascii="Times New Roman" w:hAnsi="Times New Roman" w:cs="Times New Roman"/>
          <w:b/>
          <w:sz w:val="24"/>
          <w:szCs w:val="24"/>
        </w:rPr>
        <w:t>Supplementa</w:t>
      </w:r>
      <w:r w:rsidR="004F7882" w:rsidRPr="00B81EAC">
        <w:rPr>
          <w:rFonts w:ascii="Times New Roman" w:hAnsi="Times New Roman" w:cs="Times New Roman"/>
          <w:b/>
          <w:sz w:val="24"/>
          <w:szCs w:val="24"/>
        </w:rPr>
        <w:t>ry</w:t>
      </w:r>
      <w:r w:rsidRPr="00B81EAC">
        <w:rPr>
          <w:rFonts w:ascii="Times New Roman" w:hAnsi="Times New Roman" w:cs="Times New Roman"/>
          <w:b/>
          <w:sz w:val="24"/>
          <w:szCs w:val="24"/>
        </w:rPr>
        <w:t xml:space="preserve"> Figure</w:t>
      </w:r>
      <w:r w:rsidR="004F7882" w:rsidRPr="00B81EAC">
        <w:rPr>
          <w:rFonts w:ascii="Times New Roman" w:hAnsi="Times New Roman" w:cs="Times New Roman"/>
          <w:b/>
          <w:sz w:val="24"/>
          <w:szCs w:val="24"/>
        </w:rPr>
        <w:t xml:space="preserve"> Legends</w:t>
      </w:r>
    </w:p>
    <w:p w14:paraId="47690721" w14:textId="1945533F" w:rsidR="000B7B1D" w:rsidRPr="00B81EAC" w:rsidRDefault="000B7B1D" w:rsidP="00B81EAC">
      <w:pPr>
        <w:spacing w:after="0" w:line="480" w:lineRule="auto"/>
        <w:jc w:val="both"/>
        <w:rPr>
          <w:rFonts w:ascii="Times New Roman" w:hAnsi="Times New Roman" w:cs="Times New Roman"/>
          <w:sz w:val="24"/>
          <w:szCs w:val="24"/>
        </w:rPr>
      </w:pPr>
      <w:r w:rsidRPr="00B81EAC">
        <w:rPr>
          <w:rFonts w:ascii="Times New Roman" w:hAnsi="Times New Roman" w:cs="Times New Roman"/>
          <w:b/>
          <w:sz w:val="24"/>
          <w:szCs w:val="24"/>
        </w:rPr>
        <w:t>Supplemental Figure S1. Composition of TPM203 for administration in preclinical and clinical studies in PV.</w:t>
      </w:r>
      <w:r w:rsidRPr="00B81EAC">
        <w:rPr>
          <w:rFonts w:ascii="Times New Roman" w:hAnsi="Times New Roman" w:cs="Times New Roman"/>
          <w:sz w:val="24"/>
          <w:szCs w:val="24"/>
        </w:rPr>
        <w:t xml:space="preserve"> (A) Production process scheme of TPCs. Oleic acid-stabilized superparamagnetic iron oxide na</w:t>
      </w:r>
      <w:bookmarkStart w:id="1" w:name="_GoBack"/>
      <w:bookmarkEnd w:id="1"/>
      <w:r w:rsidRPr="00B81EAC">
        <w:rPr>
          <w:rFonts w:ascii="Times New Roman" w:hAnsi="Times New Roman" w:cs="Times New Roman"/>
          <w:sz w:val="24"/>
          <w:szCs w:val="24"/>
        </w:rPr>
        <w:t>noparticles (SPIONs) were coated with an amphiphilic polymer to generate Topas Particles (TPs), which are coupled with up to 100 copies of one selected peptide to generate TPCs. (B) Dsg3-derived peptides, identified as relevant CD4</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xml:space="preserve"> T cell epitopes in PV, were selected for coupling to TPs. (C) Four TPCs, each coupled to one of four Dsg3-specific peptides, were combined in equal parts to generate TPM203.</w:t>
      </w:r>
    </w:p>
    <w:p w14:paraId="13975974" w14:textId="77777777" w:rsidR="004F7882" w:rsidRPr="00B81EAC" w:rsidRDefault="004F7882" w:rsidP="00B81EAC">
      <w:pPr>
        <w:spacing w:after="0" w:line="480" w:lineRule="auto"/>
        <w:jc w:val="both"/>
        <w:rPr>
          <w:rFonts w:ascii="Times New Roman" w:hAnsi="Times New Roman" w:cs="Times New Roman"/>
          <w:b/>
          <w:bCs/>
          <w:color w:val="000000" w:themeColor="text1"/>
          <w:sz w:val="24"/>
          <w:szCs w:val="24"/>
        </w:rPr>
      </w:pPr>
    </w:p>
    <w:p w14:paraId="5D637164" w14:textId="0DB5AE2D" w:rsidR="000B7B1D" w:rsidRDefault="000B7B1D" w:rsidP="00B81EAC">
      <w:pPr>
        <w:spacing w:after="0" w:line="480" w:lineRule="auto"/>
        <w:jc w:val="both"/>
        <w:rPr>
          <w:rFonts w:ascii="Times New Roman" w:hAnsi="Times New Roman" w:cs="Times New Roman"/>
          <w:sz w:val="24"/>
          <w:szCs w:val="24"/>
        </w:rPr>
      </w:pPr>
      <w:r w:rsidRPr="00B81EAC">
        <w:rPr>
          <w:rFonts w:ascii="Times New Roman" w:hAnsi="Times New Roman" w:cs="Times New Roman"/>
          <w:b/>
          <w:bCs/>
          <w:sz w:val="24"/>
          <w:szCs w:val="24"/>
        </w:rPr>
        <w:t>Supplemental Figure S</w:t>
      </w:r>
      <w:r w:rsidR="004C5D24">
        <w:rPr>
          <w:rFonts w:ascii="Times New Roman" w:hAnsi="Times New Roman" w:cs="Times New Roman"/>
          <w:b/>
          <w:bCs/>
          <w:sz w:val="24"/>
          <w:szCs w:val="24"/>
        </w:rPr>
        <w:t>2</w:t>
      </w:r>
      <w:r w:rsidRPr="00B81EAC">
        <w:rPr>
          <w:rFonts w:ascii="Times New Roman" w:hAnsi="Times New Roman" w:cs="Times New Roman"/>
          <w:b/>
          <w:bCs/>
          <w:sz w:val="24"/>
          <w:szCs w:val="24"/>
        </w:rPr>
        <w:t>. Treg/Th effector</w:t>
      </w:r>
      <w:r w:rsidRPr="00B81EAC">
        <w:rPr>
          <w:rFonts w:ascii="Times New Roman" w:hAnsi="Times New Roman" w:cs="Times New Roman"/>
          <w:b/>
          <w:sz w:val="24"/>
          <w:szCs w:val="24"/>
        </w:rPr>
        <w:t xml:space="preserve"> </w:t>
      </w:r>
      <w:r w:rsidRPr="00B81EAC">
        <w:rPr>
          <w:rFonts w:ascii="Times New Roman" w:hAnsi="Times New Roman" w:cs="Times New Roman"/>
          <w:b/>
          <w:bCs/>
          <w:sz w:val="24"/>
          <w:szCs w:val="24"/>
        </w:rPr>
        <w:t xml:space="preserve">cell ratios in patients with PV treated with TPM203. </w:t>
      </w:r>
      <w:r w:rsidRPr="00B81EAC">
        <w:rPr>
          <w:rFonts w:ascii="Times New Roman" w:hAnsi="Times New Roman" w:cs="Times New Roman"/>
          <w:sz w:val="24"/>
          <w:szCs w:val="24"/>
        </w:rPr>
        <w:t>The ratios of Treg and distinct Th effector cell subsets, such as (A) Treg/Th17, (B) Treg/Th17.1, (C) Treg/Th1 and (D) Treg/Th2 cells are shown for 12 weeks (Part A) and 16 weeks (Part B), respectively. Data are shown for dose level 1-3 of Part A (</w:t>
      </w:r>
      <w:r w:rsidRPr="00B81EAC">
        <w:rPr>
          <w:rFonts w:ascii="Times New Roman" w:hAnsi="Times New Roman" w:cs="Times New Roman"/>
          <w:i/>
          <w:iCs/>
          <w:sz w:val="24"/>
          <w:szCs w:val="24"/>
        </w:rPr>
        <w:t>left</w:t>
      </w:r>
      <w:r w:rsidRPr="00B81EAC">
        <w:rPr>
          <w:rFonts w:ascii="Times New Roman" w:hAnsi="Times New Roman" w:cs="Times New Roman"/>
          <w:sz w:val="24"/>
          <w:szCs w:val="24"/>
        </w:rPr>
        <w:t>), all dose levels of Part A (</w:t>
      </w:r>
      <w:r w:rsidRPr="00B81EAC">
        <w:rPr>
          <w:rFonts w:ascii="Times New Roman" w:hAnsi="Times New Roman" w:cs="Times New Roman"/>
          <w:i/>
          <w:iCs/>
          <w:sz w:val="24"/>
          <w:szCs w:val="24"/>
        </w:rPr>
        <w:t>central</w:t>
      </w:r>
      <w:r w:rsidRPr="00B81EAC">
        <w:rPr>
          <w:rFonts w:ascii="Times New Roman" w:hAnsi="Times New Roman" w:cs="Times New Roman"/>
          <w:sz w:val="24"/>
          <w:szCs w:val="24"/>
        </w:rPr>
        <w:t>), and Part B (</w:t>
      </w:r>
      <w:r w:rsidRPr="00B81EAC">
        <w:rPr>
          <w:rFonts w:ascii="Times New Roman" w:hAnsi="Times New Roman" w:cs="Times New Roman"/>
          <w:i/>
          <w:iCs/>
          <w:sz w:val="24"/>
          <w:szCs w:val="24"/>
        </w:rPr>
        <w:t>right</w:t>
      </w:r>
      <w:r w:rsidRPr="00B81EAC">
        <w:rPr>
          <w:rFonts w:ascii="Times New Roman" w:hAnsi="Times New Roman" w:cs="Times New Roman"/>
          <w:sz w:val="24"/>
          <w:szCs w:val="24"/>
        </w:rPr>
        <w:t>). Graphs show mean ± SEM. The statistical significance was tested against the D1 baseline using one-way ANOVA.</w:t>
      </w:r>
    </w:p>
    <w:p w14:paraId="2DF09291" w14:textId="0133A26A" w:rsidR="004C5D24" w:rsidRDefault="004C5D24" w:rsidP="00B81EAC">
      <w:pPr>
        <w:spacing w:after="0" w:line="480" w:lineRule="auto"/>
        <w:jc w:val="both"/>
        <w:rPr>
          <w:rFonts w:ascii="Times New Roman" w:hAnsi="Times New Roman" w:cs="Times New Roman"/>
          <w:sz w:val="24"/>
          <w:szCs w:val="24"/>
        </w:rPr>
      </w:pPr>
    </w:p>
    <w:p w14:paraId="34EA78E7" w14:textId="2A2C1A0F" w:rsidR="004C5D24" w:rsidRPr="00B81EAC" w:rsidRDefault="004C5D24" w:rsidP="00B81EAC">
      <w:pPr>
        <w:spacing w:after="0" w:line="480" w:lineRule="auto"/>
        <w:jc w:val="both"/>
        <w:rPr>
          <w:rFonts w:ascii="Times New Roman" w:hAnsi="Times New Roman" w:cs="Times New Roman"/>
          <w:sz w:val="24"/>
          <w:szCs w:val="24"/>
        </w:rPr>
      </w:pPr>
      <w:r w:rsidRPr="00B81EAC">
        <w:rPr>
          <w:rFonts w:ascii="Times New Roman" w:hAnsi="Times New Roman" w:cs="Times New Roman"/>
          <w:b/>
          <w:bCs/>
          <w:sz w:val="24"/>
          <w:szCs w:val="24"/>
        </w:rPr>
        <w:t>Supplemental Figure S</w:t>
      </w:r>
      <w:r>
        <w:rPr>
          <w:rFonts w:ascii="Times New Roman" w:hAnsi="Times New Roman" w:cs="Times New Roman"/>
          <w:b/>
          <w:bCs/>
          <w:sz w:val="24"/>
          <w:szCs w:val="24"/>
        </w:rPr>
        <w:t>3</w:t>
      </w:r>
      <w:r w:rsidRPr="004C5D24">
        <w:rPr>
          <w:rFonts w:ascii="Times New Roman" w:hAnsi="Times New Roman" w:cs="Times New Roman"/>
          <w:b/>
          <w:bCs/>
          <w:sz w:val="24"/>
          <w:szCs w:val="24"/>
        </w:rPr>
        <w:t xml:space="preserve">. Representative </w:t>
      </w:r>
      <w:r>
        <w:rPr>
          <w:rFonts w:ascii="Times New Roman" w:hAnsi="Times New Roman" w:cs="Times New Roman"/>
          <w:b/>
          <w:bCs/>
          <w:sz w:val="24"/>
          <w:szCs w:val="24"/>
        </w:rPr>
        <w:t>f</w:t>
      </w:r>
      <w:r w:rsidRPr="004C5D24">
        <w:rPr>
          <w:rFonts w:ascii="Times New Roman" w:hAnsi="Times New Roman" w:cs="Times New Roman"/>
          <w:b/>
          <w:bCs/>
          <w:sz w:val="24"/>
          <w:szCs w:val="24"/>
        </w:rPr>
        <w:t xml:space="preserve">low cytometry plot </w:t>
      </w:r>
      <w:r w:rsidRPr="005170C6">
        <w:rPr>
          <w:rFonts w:ascii="Times New Roman" w:hAnsi="Times New Roman" w:cs="Times New Roman"/>
          <w:b/>
          <w:kern w:val="0"/>
          <w:sz w:val="24"/>
          <w:szCs w:val="24"/>
          <w14:ligatures w14:val="none"/>
        </w:rPr>
        <w:t>utilizing Dsg3-peptide-HLA-DRB1*04:02 dextramers.</w:t>
      </w:r>
      <w:r>
        <w:rPr>
          <w:rFonts w:ascii="Times New Roman" w:hAnsi="Times New Roman" w:cs="Times New Roman"/>
          <w:kern w:val="0"/>
          <w:sz w:val="24"/>
          <w:szCs w:val="24"/>
          <w14:ligatures w14:val="none"/>
        </w:rPr>
        <w:t xml:space="preserve"> </w:t>
      </w:r>
    </w:p>
    <w:p w14:paraId="2E6969FF" w14:textId="77777777" w:rsidR="004F7882" w:rsidRPr="00B81EAC" w:rsidRDefault="004F7882" w:rsidP="00B81EAC">
      <w:pPr>
        <w:spacing w:after="0" w:line="480" w:lineRule="auto"/>
        <w:jc w:val="both"/>
        <w:rPr>
          <w:rFonts w:ascii="Times New Roman" w:hAnsi="Times New Roman" w:cs="Times New Roman"/>
          <w:b/>
          <w:bCs/>
          <w:sz w:val="24"/>
          <w:szCs w:val="24"/>
        </w:rPr>
      </w:pPr>
    </w:p>
    <w:p w14:paraId="2C546D4E" w14:textId="1D142884" w:rsidR="000B7B1D" w:rsidRPr="00B81EAC" w:rsidRDefault="000B7B1D" w:rsidP="00B81EAC">
      <w:pPr>
        <w:spacing w:after="0" w:line="480" w:lineRule="auto"/>
        <w:jc w:val="both"/>
        <w:rPr>
          <w:rFonts w:ascii="Times New Roman" w:hAnsi="Times New Roman" w:cs="Times New Roman"/>
          <w:sz w:val="24"/>
          <w:szCs w:val="24"/>
        </w:rPr>
      </w:pPr>
      <w:r w:rsidRPr="00B81EAC">
        <w:rPr>
          <w:rFonts w:ascii="Times New Roman" w:hAnsi="Times New Roman" w:cs="Times New Roman"/>
          <w:b/>
          <w:bCs/>
          <w:sz w:val="24"/>
          <w:szCs w:val="24"/>
        </w:rPr>
        <w:t>Supplemental Figure S4. Impact of TPM203 on functional responses of Dsg3-specific peripheral T cells in patients with PV.</w:t>
      </w:r>
      <w:r w:rsidRPr="00B81EAC">
        <w:rPr>
          <w:rFonts w:ascii="Times New Roman" w:hAnsi="Times New Roman" w:cs="Times New Roman"/>
          <w:sz w:val="24"/>
          <w:szCs w:val="24"/>
        </w:rPr>
        <w:t xml:space="preserve"> Peripheral blood T cells from PV patients were stimulated </w:t>
      </w:r>
      <w:r w:rsidRPr="00B81EAC">
        <w:rPr>
          <w:rFonts w:ascii="Times New Roman" w:hAnsi="Times New Roman" w:cs="Times New Roman"/>
          <w:i/>
          <w:iCs/>
          <w:sz w:val="24"/>
          <w:szCs w:val="24"/>
        </w:rPr>
        <w:t>ex vivo</w:t>
      </w:r>
      <w:r w:rsidRPr="00B81EAC">
        <w:rPr>
          <w:rFonts w:ascii="Times New Roman" w:hAnsi="Times New Roman" w:cs="Times New Roman"/>
          <w:sz w:val="24"/>
          <w:szCs w:val="24"/>
        </w:rPr>
        <w:t xml:space="preserve"> with human Dsg3 and the evolving cytokine secretion was assessed by ELISpot analysis. Frequencies of (A) IL-5- or (B) IL-10-secreting cells (expressed as SFU) were measured over the entire observation period of 12 weeks (Part A, </w:t>
      </w:r>
      <w:r w:rsidRPr="00B81EAC">
        <w:rPr>
          <w:rFonts w:ascii="Times New Roman" w:hAnsi="Times New Roman" w:cs="Times New Roman"/>
          <w:i/>
          <w:sz w:val="24"/>
          <w:szCs w:val="24"/>
        </w:rPr>
        <w:t>left</w:t>
      </w:r>
      <w:r w:rsidRPr="00B81EAC">
        <w:rPr>
          <w:rFonts w:ascii="Times New Roman" w:hAnsi="Times New Roman" w:cs="Times New Roman"/>
          <w:sz w:val="24"/>
          <w:szCs w:val="24"/>
        </w:rPr>
        <w:t xml:space="preserve">) and 16 weeks (Part B, </w:t>
      </w:r>
      <w:r w:rsidRPr="00B81EAC">
        <w:rPr>
          <w:rFonts w:ascii="Times New Roman" w:hAnsi="Times New Roman" w:cs="Times New Roman"/>
          <w:i/>
          <w:sz w:val="24"/>
          <w:szCs w:val="24"/>
        </w:rPr>
        <w:t>right</w:t>
      </w:r>
      <w:r w:rsidRPr="00B81EAC">
        <w:rPr>
          <w:rFonts w:ascii="Times New Roman" w:hAnsi="Times New Roman" w:cs="Times New Roman"/>
          <w:sz w:val="24"/>
          <w:szCs w:val="24"/>
        </w:rPr>
        <w:t>), respectively.</w:t>
      </w:r>
    </w:p>
    <w:p w14:paraId="2963115E" w14:textId="77777777" w:rsidR="004F7882" w:rsidRPr="00B81EAC" w:rsidRDefault="004F7882" w:rsidP="00B81EAC">
      <w:pPr>
        <w:spacing w:after="0" w:line="480" w:lineRule="auto"/>
        <w:jc w:val="both"/>
        <w:rPr>
          <w:rFonts w:ascii="Times New Roman" w:hAnsi="Times New Roman" w:cs="Times New Roman"/>
          <w:b/>
          <w:bCs/>
          <w:sz w:val="24"/>
          <w:szCs w:val="24"/>
        </w:rPr>
      </w:pPr>
    </w:p>
    <w:p w14:paraId="0DD1C04C" w14:textId="716CE1CF" w:rsidR="000B7B1D" w:rsidRPr="00B81EAC" w:rsidRDefault="000B7B1D" w:rsidP="00B81EAC">
      <w:pPr>
        <w:spacing w:after="0" w:line="480" w:lineRule="auto"/>
        <w:jc w:val="both"/>
        <w:rPr>
          <w:rFonts w:ascii="Times New Roman" w:hAnsi="Times New Roman" w:cs="Times New Roman"/>
          <w:sz w:val="24"/>
          <w:szCs w:val="24"/>
        </w:rPr>
      </w:pPr>
      <w:r w:rsidRPr="00B81EAC">
        <w:rPr>
          <w:rFonts w:ascii="Times New Roman" w:hAnsi="Times New Roman" w:cs="Times New Roman"/>
          <w:b/>
          <w:bCs/>
          <w:sz w:val="24"/>
          <w:szCs w:val="24"/>
        </w:rPr>
        <w:t xml:space="preserve">Supplemental Figure S5. Impact of TPM203 treatment on peripheral blood B cell subsets and plasma cells of patients with PV upon single treatment (Part A) or repeated administration (Part B). </w:t>
      </w:r>
      <w:r w:rsidRPr="00B81EAC">
        <w:rPr>
          <w:rFonts w:ascii="Times New Roman" w:hAnsi="Times New Roman" w:cs="Times New Roman"/>
          <w:sz w:val="24"/>
          <w:szCs w:val="24"/>
        </w:rPr>
        <w:t>Shown are the frequencies of B cell subsets expressed as % change of baseline (D1) for (A) CD19</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CD19</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CD27</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CD19</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CD27</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xml:space="preserve"> B cells (Part A, </w:t>
      </w:r>
      <w:r w:rsidRPr="00B81EAC">
        <w:rPr>
          <w:rFonts w:ascii="Times New Roman" w:hAnsi="Times New Roman" w:cs="Times New Roman"/>
          <w:i/>
          <w:sz w:val="24"/>
          <w:szCs w:val="24"/>
        </w:rPr>
        <w:t>upper panel</w:t>
      </w:r>
      <w:r w:rsidRPr="00B81EAC">
        <w:rPr>
          <w:rFonts w:ascii="Times New Roman" w:hAnsi="Times New Roman" w:cs="Times New Roman"/>
          <w:sz w:val="24"/>
          <w:szCs w:val="24"/>
        </w:rPr>
        <w:t xml:space="preserve">, and Part B, </w:t>
      </w:r>
      <w:r w:rsidRPr="00B81EAC">
        <w:rPr>
          <w:rFonts w:ascii="Times New Roman" w:hAnsi="Times New Roman" w:cs="Times New Roman"/>
          <w:i/>
          <w:sz w:val="24"/>
          <w:szCs w:val="24"/>
        </w:rPr>
        <w:t>lower panel</w:t>
      </w:r>
      <w:r w:rsidRPr="00B81EAC">
        <w:rPr>
          <w:rFonts w:ascii="Times New Roman" w:hAnsi="Times New Roman" w:cs="Times New Roman"/>
          <w:sz w:val="24"/>
          <w:szCs w:val="24"/>
        </w:rPr>
        <w:t>), (B) CD24</w:t>
      </w:r>
      <w:r w:rsidRPr="00B81EAC">
        <w:rPr>
          <w:rFonts w:ascii="Times New Roman" w:hAnsi="Times New Roman" w:cs="Times New Roman"/>
          <w:sz w:val="24"/>
          <w:szCs w:val="24"/>
          <w:vertAlign w:val="superscript"/>
        </w:rPr>
        <w:t>hi</w:t>
      </w:r>
      <w:r w:rsidRPr="00B81EAC">
        <w:rPr>
          <w:rFonts w:ascii="Times New Roman" w:hAnsi="Times New Roman" w:cs="Times New Roman"/>
          <w:sz w:val="24"/>
          <w:szCs w:val="24"/>
        </w:rPr>
        <w:t>CD38</w:t>
      </w:r>
      <w:r w:rsidRPr="00B81EAC">
        <w:rPr>
          <w:rFonts w:ascii="Times New Roman" w:hAnsi="Times New Roman" w:cs="Times New Roman"/>
          <w:sz w:val="24"/>
          <w:szCs w:val="24"/>
          <w:vertAlign w:val="superscript"/>
        </w:rPr>
        <w:t>hi</w:t>
      </w:r>
      <w:r w:rsidRPr="00B81EAC">
        <w:rPr>
          <w:rFonts w:ascii="Times New Roman" w:hAnsi="Times New Roman" w:cs="Times New Roman"/>
          <w:sz w:val="24"/>
          <w:szCs w:val="24"/>
        </w:rPr>
        <w:t xml:space="preserve">, </w:t>
      </w:r>
      <w:proofErr w:type="spellStart"/>
      <w:r w:rsidRPr="00B81EAC">
        <w:rPr>
          <w:rFonts w:ascii="Times New Roman" w:hAnsi="Times New Roman" w:cs="Times New Roman"/>
          <w:sz w:val="24"/>
          <w:szCs w:val="24"/>
        </w:rPr>
        <w:t>IgD</w:t>
      </w:r>
      <w:proofErr w:type="spellEnd"/>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IgM</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xml:space="preserve"> class-switched, </w:t>
      </w:r>
      <w:proofErr w:type="spellStart"/>
      <w:r w:rsidRPr="00B81EAC">
        <w:rPr>
          <w:rFonts w:ascii="Times New Roman" w:hAnsi="Times New Roman" w:cs="Times New Roman"/>
          <w:sz w:val="24"/>
          <w:szCs w:val="24"/>
        </w:rPr>
        <w:t>IgD</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IgM</w:t>
      </w:r>
      <w:proofErr w:type="spellEnd"/>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xml:space="preserve"> marginal zone B cells (Part A, </w:t>
      </w:r>
      <w:r w:rsidRPr="00B81EAC">
        <w:rPr>
          <w:rFonts w:ascii="Times New Roman" w:hAnsi="Times New Roman" w:cs="Times New Roman"/>
          <w:i/>
          <w:sz w:val="24"/>
          <w:szCs w:val="24"/>
        </w:rPr>
        <w:t>upper panel</w:t>
      </w:r>
      <w:r w:rsidRPr="00B81EAC">
        <w:rPr>
          <w:rFonts w:ascii="Times New Roman" w:hAnsi="Times New Roman" w:cs="Times New Roman"/>
          <w:sz w:val="24"/>
          <w:szCs w:val="24"/>
        </w:rPr>
        <w:t xml:space="preserve">, and Part B, </w:t>
      </w:r>
      <w:r w:rsidRPr="00B81EAC">
        <w:rPr>
          <w:rFonts w:ascii="Times New Roman" w:hAnsi="Times New Roman" w:cs="Times New Roman"/>
          <w:i/>
          <w:sz w:val="24"/>
          <w:szCs w:val="24"/>
        </w:rPr>
        <w:t>lower panel</w:t>
      </w:r>
      <w:r w:rsidRPr="00B81EAC">
        <w:rPr>
          <w:rFonts w:ascii="Times New Roman" w:hAnsi="Times New Roman" w:cs="Times New Roman"/>
          <w:sz w:val="24"/>
          <w:szCs w:val="24"/>
        </w:rPr>
        <w:t>), and (C) CD38</w:t>
      </w:r>
      <w:r w:rsidRPr="00B81EAC">
        <w:rPr>
          <w:rFonts w:ascii="Times New Roman" w:hAnsi="Times New Roman" w:cs="Times New Roman"/>
          <w:sz w:val="24"/>
          <w:szCs w:val="24"/>
          <w:vertAlign w:val="superscript"/>
        </w:rPr>
        <w:t>hi</w:t>
      </w:r>
      <w:r w:rsidRPr="00B81EAC">
        <w:rPr>
          <w:rFonts w:ascii="Times New Roman" w:hAnsi="Times New Roman" w:cs="Times New Roman"/>
          <w:sz w:val="24"/>
          <w:szCs w:val="24"/>
        </w:rPr>
        <w:t xml:space="preserve"> </w:t>
      </w:r>
      <w:proofErr w:type="spellStart"/>
      <w:r w:rsidRPr="00B81EAC">
        <w:rPr>
          <w:rFonts w:ascii="Times New Roman" w:hAnsi="Times New Roman" w:cs="Times New Roman"/>
          <w:sz w:val="24"/>
          <w:szCs w:val="24"/>
        </w:rPr>
        <w:t>plasmablasts</w:t>
      </w:r>
      <w:proofErr w:type="spellEnd"/>
      <w:r w:rsidRPr="00B81EAC">
        <w:rPr>
          <w:rFonts w:ascii="Times New Roman" w:hAnsi="Times New Roman" w:cs="Times New Roman"/>
          <w:sz w:val="24"/>
          <w:szCs w:val="24"/>
        </w:rPr>
        <w:t xml:space="preserve"> (Part A, </w:t>
      </w:r>
      <w:r w:rsidRPr="00B81EAC">
        <w:rPr>
          <w:rFonts w:ascii="Times New Roman" w:hAnsi="Times New Roman" w:cs="Times New Roman"/>
          <w:i/>
          <w:sz w:val="24"/>
          <w:szCs w:val="24"/>
        </w:rPr>
        <w:t>left</w:t>
      </w:r>
      <w:r w:rsidRPr="00B81EAC">
        <w:rPr>
          <w:rFonts w:ascii="Times New Roman" w:hAnsi="Times New Roman" w:cs="Times New Roman"/>
          <w:sz w:val="24"/>
          <w:szCs w:val="24"/>
        </w:rPr>
        <w:t xml:space="preserve">, and Part B, </w:t>
      </w:r>
      <w:r w:rsidRPr="00B81EAC">
        <w:rPr>
          <w:rFonts w:ascii="Times New Roman" w:hAnsi="Times New Roman" w:cs="Times New Roman"/>
          <w:i/>
          <w:sz w:val="24"/>
          <w:szCs w:val="24"/>
          <w:u w:val="single"/>
        </w:rPr>
        <w:t>right</w:t>
      </w:r>
      <w:r w:rsidRPr="00B81EAC">
        <w:rPr>
          <w:rFonts w:ascii="Times New Roman" w:hAnsi="Times New Roman" w:cs="Times New Roman"/>
          <w:sz w:val="24"/>
          <w:szCs w:val="24"/>
        </w:rPr>
        <w:t>). TPM203 was administered at incremental single dose levels 1-4 (Part A) over 12 weeks and repeatedly at dose level 2 (Part B) over 16 weeks. Dose level 1 (grey), level 2 (green), level 3 (blue), level 4 (red) and multiple dose (black).</w:t>
      </w:r>
    </w:p>
    <w:p w14:paraId="42CAE685" w14:textId="2B820B21" w:rsidR="000B7B1D" w:rsidRPr="00B81EAC" w:rsidRDefault="000B7B1D" w:rsidP="00B81EAC">
      <w:pPr>
        <w:spacing w:after="0" w:line="480" w:lineRule="auto"/>
        <w:jc w:val="both"/>
        <w:rPr>
          <w:rFonts w:ascii="Times New Roman" w:hAnsi="Times New Roman" w:cs="Times New Roman"/>
          <w:b/>
          <w:bCs/>
          <w:sz w:val="24"/>
          <w:szCs w:val="24"/>
        </w:rPr>
      </w:pPr>
    </w:p>
    <w:p w14:paraId="06BF10A8" w14:textId="3CB0343C" w:rsidR="000B7B1D" w:rsidRDefault="000B7B1D" w:rsidP="00B81EAC">
      <w:pPr>
        <w:autoSpaceDE w:val="0"/>
        <w:autoSpaceDN w:val="0"/>
        <w:spacing w:after="0" w:line="480" w:lineRule="auto"/>
        <w:jc w:val="both"/>
        <w:rPr>
          <w:rFonts w:ascii="Times New Roman" w:hAnsi="Times New Roman" w:cs="Times New Roman"/>
          <w:sz w:val="24"/>
          <w:szCs w:val="24"/>
        </w:rPr>
      </w:pPr>
      <w:r w:rsidRPr="00B81EAC">
        <w:rPr>
          <w:rFonts w:ascii="Times New Roman" w:hAnsi="Times New Roman" w:cs="Times New Roman"/>
          <w:b/>
          <w:bCs/>
          <w:sz w:val="24"/>
          <w:szCs w:val="24"/>
        </w:rPr>
        <w:t xml:space="preserve">Supplemental Figure S6. Impact of TPM203 upon single treatment (Part A) or repeated administration (Part B) on peripheral blood T and B cell subsets and anti-Dsg3 IgG in patients with PV. </w:t>
      </w:r>
      <w:r w:rsidRPr="00B81EAC">
        <w:rPr>
          <w:rFonts w:ascii="Times New Roman" w:hAnsi="Times New Roman" w:cs="Times New Roman"/>
          <w:sz w:val="24"/>
          <w:szCs w:val="24"/>
        </w:rPr>
        <w:t>Heatmap of</w:t>
      </w:r>
      <w:r w:rsidRPr="00B81EAC">
        <w:rPr>
          <w:rFonts w:ascii="Times New Roman" w:hAnsi="Times New Roman" w:cs="Times New Roman"/>
          <w:b/>
          <w:bCs/>
          <w:sz w:val="24"/>
          <w:szCs w:val="24"/>
        </w:rPr>
        <w:t xml:space="preserve"> </w:t>
      </w:r>
      <w:r w:rsidRPr="00B81EAC">
        <w:rPr>
          <w:rFonts w:ascii="Times New Roman" w:hAnsi="Times New Roman" w:cs="Times New Roman"/>
          <w:sz w:val="24"/>
          <w:szCs w:val="24"/>
        </w:rPr>
        <w:t xml:space="preserve">frequencies of T cell subsets expressed as % change of baseline (D1) for Th1/Tfh1, Th2/Tfh2, Th17, Th17.1, </w:t>
      </w:r>
      <w:proofErr w:type="spellStart"/>
      <w:r w:rsidRPr="00B81EAC">
        <w:rPr>
          <w:rFonts w:ascii="Times New Roman" w:hAnsi="Times New Roman" w:cs="Times New Roman"/>
          <w:sz w:val="24"/>
          <w:szCs w:val="24"/>
        </w:rPr>
        <w:t>Treg</w:t>
      </w:r>
      <w:proofErr w:type="spellEnd"/>
      <w:r w:rsidRPr="00B81EAC">
        <w:rPr>
          <w:rFonts w:ascii="Times New Roman" w:hAnsi="Times New Roman" w:cs="Times New Roman"/>
          <w:sz w:val="24"/>
          <w:szCs w:val="24"/>
        </w:rPr>
        <w:t>/</w:t>
      </w:r>
      <w:proofErr w:type="spellStart"/>
      <w:r w:rsidRPr="00B81EAC">
        <w:rPr>
          <w:rFonts w:ascii="Times New Roman" w:hAnsi="Times New Roman" w:cs="Times New Roman"/>
          <w:sz w:val="24"/>
          <w:szCs w:val="24"/>
        </w:rPr>
        <w:t>Tfr</w:t>
      </w:r>
      <w:proofErr w:type="spellEnd"/>
      <w:r w:rsidRPr="00B81EAC">
        <w:rPr>
          <w:rFonts w:ascii="Times New Roman" w:hAnsi="Times New Roman" w:cs="Times New Roman"/>
          <w:sz w:val="24"/>
          <w:szCs w:val="24"/>
        </w:rPr>
        <w:t xml:space="preserve"> cells, CD27</w:t>
      </w:r>
      <w:r w:rsidRPr="00B81EAC">
        <w:rPr>
          <w:rFonts w:ascii="Times New Roman" w:hAnsi="Times New Roman" w:cs="Times New Roman"/>
          <w:sz w:val="24"/>
          <w:szCs w:val="24"/>
          <w:vertAlign w:val="superscript"/>
        </w:rPr>
        <w:t>+</w:t>
      </w:r>
      <w:r w:rsidRPr="00B81EAC">
        <w:rPr>
          <w:rFonts w:ascii="Times New Roman" w:hAnsi="Times New Roman" w:cs="Times New Roman"/>
          <w:sz w:val="24"/>
          <w:szCs w:val="24"/>
        </w:rPr>
        <w:t xml:space="preserve"> B cells and anti-Dsg3 serum IgG for individual PV patients treated with TPM203 at incremental single dose levels 1-4 (Part A) and repeated administration of TPM203 at dose level 2 (Part B). Dose level 1 (grey), level 2 (green), level 3 (blue), level 4 (red) and multiple dose (black).</w:t>
      </w:r>
    </w:p>
    <w:p w14:paraId="4ED0BFE8" w14:textId="395F0684" w:rsidR="004C5D24" w:rsidRDefault="004C5D24" w:rsidP="00B81EAC">
      <w:pPr>
        <w:autoSpaceDE w:val="0"/>
        <w:autoSpaceDN w:val="0"/>
        <w:spacing w:after="0" w:line="480" w:lineRule="auto"/>
        <w:jc w:val="both"/>
        <w:rPr>
          <w:rFonts w:ascii="Times New Roman" w:hAnsi="Times New Roman" w:cs="Times New Roman"/>
          <w:sz w:val="24"/>
          <w:szCs w:val="24"/>
        </w:rPr>
      </w:pPr>
    </w:p>
    <w:p w14:paraId="0D89CAA0" w14:textId="0AC55FC3" w:rsidR="004C5D24" w:rsidRPr="00B81EAC" w:rsidRDefault="004C5D24" w:rsidP="003F427C">
      <w:pPr>
        <w:spacing w:after="0" w:line="480" w:lineRule="auto"/>
        <w:jc w:val="both"/>
        <w:rPr>
          <w:rFonts w:ascii="Times New Roman" w:hAnsi="Times New Roman" w:cs="Times New Roman"/>
          <w:sz w:val="24"/>
          <w:szCs w:val="24"/>
        </w:rPr>
      </w:pPr>
      <w:r w:rsidRPr="00B81EAC">
        <w:rPr>
          <w:rFonts w:ascii="Times New Roman" w:hAnsi="Times New Roman" w:cs="Times New Roman"/>
          <w:b/>
          <w:bCs/>
          <w:color w:val="000000" w:themeColor="text1"/>
          <w:sz w:val="24"/>
          <w:szCs w:val="24"/>
        </w:rPr>
        <w:t>Supplemental Figure S</w:t>
      </w:r>
      <w:r>
        <w:rPr>
          <w:rFonts w:ascii="Times New Roman" w:hAnsi="Times New Roman" w:cs="Times New Roman"/>
          <w:b/>
          <w:bCs/>
          <w:color w:val="000000" w:themeColor="text1"/>
          <w:sz w:val="24"/>
          <w:szCs w:val="24"/>
        </w:rPr>
        <w:t>7</w:t>
      </w:r>
      <w:r w:rsidRPr="00B81EAC">
        <w:rPr>
          <w:rFonts w:ascii="Times New Roman" w:hAnsi="Times New Roman" w:cs="Times New Roman"/>
          <w:b/>
          <w:bCs/>
          <w:color w:val="000000" w:themeColor="text1"/>
          <w:sz w:val="24"/>
          <w:szCs w:val="24"/>
        </w:rPr>
        <w:t xml:space="preserve">. Original design of phase 1 trial TPV11 with TPM203 in PV. </w:t>
      </w:r>
      <w:r w:rsidRPr="00B81EAC">
        <w:rPr>
          <w:rFonts w:ascii="Times New Roman" w:hAnsi="Times New Roman" w:cs="Times New Roman"/>
          <w:color w:val="000000" w:themeColor="text1"/>
          <w:sz w:val="24"/>
          <w:szCs w:val="24"/>
        </w:rPr>
        <w:t>Single (Part A) and multiple (Part B) administration study with TPM203 in patients with mild-to-moderate PV. Part A included 12 patients who received TPM203 at four incremental doses (groups of three patients each). In part B, five instead of six PV patients received repeated injections of the second dose of Part A. The second dose group of Part B was not treated. Overall, the study duration was 12 weeks for Part A and 16 weeks for Part B.</w:t>
      </w:r>
    </w:p>
    <w:sectPr w:rsidR="004C5D24" w:rsidRPr="00B81E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D1AEC"/>
    <w:multiLevelType w:val="hybridMultilevel"/>
    <w:tmpl w:val="9614044E"/>
    <w:lvl w:ilvl="0" w:tplc="934442A2">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1D"/>
    <w:rsid w:val="00015F45"/>
    <w:rsid w:val="000B5421"/>
    <w:rsid w:val="000B7B1D"/>
    <w:rsid w:val="00157F7A"/>
    <w:rsid w:val="00163256"/>
    <w:rsid w:val="00184F5A"/>
    <w:rsid w:val="0020796F"/>
    <w:rsid w:val="00216480"/>
    <w:rsid w:val="002304FC"/>
    <w:rsid w:val="00274D7B"/>
    <w:rsid w:val="003052EF"/>
    <w:rsid w:val="003753E7"/>
    <w:rsid w:val="003F427C"/>
    <w:rsid w:val="004C5D24"/>
    <w:rsid w:val="004D7B6B"/>
    <w:rsid w:val="004F7882"/>
    <w:rsid w:val="00500D5D"/>
    <w:rsid w:val="005170C6"/>
    <w:rsid w:val="005A4A8A"/>
    <w:rsid w:val="00613492"/>
    <w:rsid w:val="006170CF"/>
    <w:rsid w:val="0065227B"/>
    <w:rsid w:val="00684E85"/>
    <w:rsid w:val="006C0327"/>
    <w:rsid w:val="006D66DF"/>
    <w:rsid w:val="006E378D"/>
    <w:rsid w:val="008372D7"/>
    <w:rsid w:val="00845633"/>
    <w:rsid w:val="00863556"/>
    <w:rsid w:val="00920C51"/>
    <w:rsid w:val="0099668D"/>
    <w:rsid w:val="009B0681"/>
    <w:rsid w:val="009D53AD"/>
    <w:rsid w:val="009E3E44"/>
    <w:rsid w:val="00B81EAC"/>
    <w:rsid w:val="00B834B4"/>
    <w:rsid w:val="00BF4FBD"/>
    <w:rsid w:val="00D05663"/>
    <w:rsid w:val="00D601AD"/>
    <w:rsid w:val="00D627AD"/>
    <w:rsid w:val="00DD541A"/>
    <w:rsid w:val="00DD6C4B"/>
    <w:rsid w:val="00E2317E"/>
    <w:rsid w:val="00E24FF1"/>
    <w:rsid w:val="00E347DF"/>
    <w:rsid w:val="00F27467"/>
    <w:rsid w:val="00F742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4D8BC"/>
  <w15:chartTrackingRefBased/>
  <w15:docId w15:val="{9C5911EB-663F-451A-BDA0-54B2829E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B1D"/>
    <w:rPr>
      <w:lang w:val="en-US"/>
    </w:rPr>
  </w:style>
  <w:style w:type="paragraph" w:styleId="berschrift1">
    <w:name w:val="heading 1"/>
    <w:basedOn w:val="Standard"/>
    <w:next w:val="Standard"/>
    <w:link w:val="berschrift1Zchn"/>
    <w:uiPriority w:val="9"/>
    <w:qFormat/>
    <w:rsid w:val="000B7B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B7B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B7B1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B7B1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B7B1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B7B1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B7B1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B7B1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B7B1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B7B1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B7B1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B7B1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B7B1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B7B1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B7B1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B7B1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B7B1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B7B1D"/>
    <w:rPr>
      <w:rFonts w:eastAsiaTheme="majorEastAsia" w:cstheme="majorBidi"/>
      <w:color w:val="272727" w:themeColor="text1" w:themeTint="D8"/>
    </w:rPr>
  </w:style>
  <w:style w:type="paragraph" w:styleId="Titel">
    <w:name w:val="Title"/>
    <w:basedOn w:val="Standard"/>
    <w:next w:val="Standard"/>
    <w:link w:val="TitelZchn"/>
    <w:uiPriority w:val="10"/>
    <w:qFormat/>
    <w:rsid w:val="000B7B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B7B1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B7B1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B7B1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B7B1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B7B1D"/>
    <w:rPr>
      <w:i/>
      <w:iCs/>
      <w:color w:val="404040" w:themeColor="text1" w:themeTint="BF"/>
    </w:rPr>
  </w:style>
  <w:style w:type="paragraph" w:styleId="Listenabsatz">
    <w:name w:val="List Paragraph"/>
    <w:basedOn w:val="Standard"/>
    <w:uiPriority w:val="34"/>
    <w:qFormat/>
    <w:rsid w:val="000B7B1D"/>
    <w:pPr>
      <w:ind w:left="720"/>
      <w:contextualSpacing/>
    </w:pPr>
  </w:style>
  <w:style w:type="character" w:styleId="IntensiveHervorhebung">
    <w:name w:val="Intense Emphasis"/>
    <w:basedOn w:val="Absatz-Standardschriftart"/>
    <w:uiPriority w:val="21"/>
    <w:qFormat/>
    <w:rsid w:val="000B7B1D"/>
    <w:rPr>
      <w:i/>
      <w:iCs/>
      <w:color w:val="0F4761" w:themeColor="accent1" w:themeShade="BF"/>
    </w:rPr>
  </w:style>
  <w:style w:type="paragraph" w:styleId="IntensivesZitat">
    <w:name w:val="Intense Quote"/>
    <w:basedOn w:val="Standard"/>
    <w:next w:val="Standard"/>
    <w:link w:val="IntensivesZitatZchn"/>
    <w:uiPriority w:val="30"/>
    <w:qFormat/>
    <w:rsid w:val="000B7B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B7B1D"/>
    <w:rPr>
      <w:i/>
      <w:iCs/>
      <w:color w:val="0F4761" w:themeColor="accent1" w:themeShade="BF"/>
    </w:rPr>
  </w:style>
  <w:style w:type="character" w:styleId="IntensiverVerweis">
    <w:name w:val="Intense Reference"/>
    <w:basedOn w:val="Absatz-Standardschriftart"/>
    <w:uiPriority w:val="32"/>
    <w:qFormat/>
    <w:rsid w:val="000B7B1D"/>
    <w:rPr>
      <w:b/>
      <w:bCs/>
      <w:smallCaps/>
      <w:color w:val="0F4761" w:themeColor="accent1" w:themeShade="BF"/>
      <w:spacing w:val="5"/>
    </w:rPr>
  </w:style>
  <w:style w:type="character" w:styleId="Kommentarzeichen">
    <w:name w:val="annotation reference"/>
    <w:basedOn w:val="Absatz-Standardschriftart"/>
    <w:uiPriority w:val="99"/>
    <w:semiHidden/>
    <w:unhideWhenUsed/>
    <w:rsid w:val="000B7B1D"/>
    <w:rPr>
      <w:sz w:val="16"/>
      <w:szCs w:val="16"/>
    </w:rPr>
  </w:style>
  <w:style w:type="paragraph" w:styleId="Kommentartext">
    <w:name w:val="annotation text"/>
    <w:basedOn w:val="Standard"/>
    <w:link w:val="KommentartextZchn"/>
    <w:uiPriority w:val="99"/>
    <w:unhideWhenUsed/>
    <w:rsid w:val="000B7B1D"/>
    <w:pPr>
      <w:spacing w:line="240" w:lineRule="auto"/>
    </w:pPr>
    <w:rPr>
      <w:rFonts w:eastAsiaTheme="minorEastAsia"/>
      <w:sz w:val="20"/>
      <w:szCs w:val="20"/>
      <w:lang w:val="de-DE" w:eastAsia="zh-CN"/>
    </w:rPr>
  </w:style>
  <w:style w:type="character" w:customStyle="1" w:styleId="KommentartextZchn">
    <w:name w:val="Kommentartext Zchn"/>
    <w:basedOn w:val="Absatz-Standardschriftart"/>
    <w:link w:val="Kommentartext"/>
    <w:uiPriority w:val="99"/>
    <w:rsid w:val="000B7B1D"/>
    <w:rPr>
      <w:rFonts w:eastAsiaTheme="minorEastAsia"/>
      <w:sz w:val="20"/>
      <w:szCs w:val="20"/>
      <w:lang w:val="de-DE" w:eastAsia="zh-CN"/>
    </w:rPr>
  </w:style>
  <w:style w:type="paragraph" w:customStyle="1" w:styleId="Default">
    <w:name w:val="Default"/>
    <w:rsid w:val="000B7B1D"/>
    <w:pPr>
      <w:autoSpaceDE w:val="0"/>
      <w:autoSpaceDN w:val="0"/>
      <w:adjustRightInd w:val="0"/>
      <w:spacing w:after="0" w:line="240" w:lineRule="auto"/>
    </w:pPr>
    <w:rPr>
      <w:rFonts w:ascii="Arial" w:hAnsi="Arial" w:cs="Arial"/>
      <w:color w:val="000000"/>
      <w:kern w:val="0"/>
      <w:sz w:val="24"/>
      <w:szCs w:val="24"/>
      <w:lang w:val="en-GB"/>
    </w:rPr>
  </w:style>
  <w:style w:type="character" w:styleId="Platzhaltertext">
    <w:name w:val="Placeholder Text"/>
    <w:basedOn w:val="Absatz-Standardschriftart"/>
    <w:uiPriority w:val="99"/>
    <w:semiHidden/>
    <w:rsid w:val="000B7B1D"/>
    <w:rPr>
      <w:color w:val="666666"/>
    </w:rPr>
  </w:style>
  <w:style w:type="paragraph" w:styleId="berarbeitung">
    <w:name w:val="Revision"/>
    <w:hidden/>
    <w:uiPriority w:val="99"/>
    <w:semiHidden/>
    <w:rsid w:val="000B7B1D"/>
    <w:pPr>
      <w:spacing w:after="0" w:line="240" w:lineRule="auto"/>
    </w:pPr>
    <w:rPr>
      <w:lang w:val="en-US"/>
    </w:rPr>
  </w:style>
  <w:style w:type="paragraph" w:styleId="Sprechblasentext">
    <w:name w:val="Balloon Text"/>
    <w:basedOn w:val="Standard"/>
    <w:link w:val="SprechblasentextZchn"/>
    <w:uiPriority w:val="99"/>
    <w:semiHidden/>
    <w:unhideWhenUsed/>
    <w:rsid w:val="0061349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3492"/>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434649">
      <w:bodyDiv w:val="1"/>
      <w:marLeft w:val="0"/>
      <w:marRight w:val="0"/>
      <w:marTop w:val="0"/>
      <w:marBottom w:val="0"/>
      <w:divBdr>
        <w:top w:val="none" w:sz="0" w:space="0" w:color="auto"/>
        <w:left w:val="none" w:sz="0" w:space="0" w:color="auto"/>
        <w:bottom w:val="none" w:sz="0" w:space="0" w:color="auto"/>
        <w:right w:val="none" w:sz="0" w:space="0" w:color="auto"/>
      </w:divBdr>
      <w:divsChild>
        <w:div w:id="1772125820">
          <w:marLeft w:val="0"/>
          <w:marRight w:val="0"/>
          <w:marTop w:val="0"/>
          <w:marBottom w:val="0"/>
          <w:divBdr>
            <w:top w:val="none" w:sz="0" w:space="0" w:color="auto"/>
            <w:left w:val="none" w:sz="0" w:space="0" w:color="auto"/>
            <w:bottom w:val="none" w:sz="0" w:space="0" w:color="auto"/>
            <w:right w:val="none" w:sz="0" w:space="0" w:color="auto"/>
          </w:divBdr>
          <w:divsChild>
            <w:div w:id="96076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5787">
      <w:bodyDiv w:val="1"/>
      <w:marLeft w:val="0"/>
      <w:marRight w:val="0"/>
      <w:marTop w:val="0"/>
      <w:marBottom w:val="0"/>
      <w:divBdr>
        <w:top w:val="none" w:sz="0" w:space="0" w:color="auto"/>
        <w:left w:val="none" w:sz="0" w:space="0" w:color="auto"/>
        <w:bottom w:val="none" w:sz="0" w:space="0" w:color="auto"/>
        <w:right w:val="none" w:sz="0" w:space="0" w:color="auto"/>
      </w:divBdr>
      <w:divsChild>
        <w:div w:id="221987678">
          <w:marLeft w:val="640"/>
          <w:marRight w:val="0"/>
          <w:marTop w:val="0"/>
          <w:marBottom w:val="0"/>
          <w:divBdr>
            <w:top w:val="none" w:sz="0" w:space="0" w:color="auto"/>
            <w:left w:val="none" w:sz="0" w:space="0" w:color="auto"/>
            <w:bottom w:val="none" w:sz="0" w:space="0" w:color="auto"/>
            <w:right w:val="none" w:sz="0" w:space="0" w:color="auto"/>
          </w:divBdr>
        </w:div>
        <w:div w:id="2083791374">
          <w:marLeft w:val="640"/>
          <w:marRight w:val="0"/>
          <w:marTop w:val="0"/>
          <w:marBottom w:val="0"/>
          <w:divBdr>
            <w:top w:val="none" w:sz="0" w:space="0" w:color="auto"/>
            <w:left w:val="none" w:sz="0" w:space="0" w:color="auto"/>
            <w:bottom w:val="none" w:sz="0" w:space="0" w:color="auto"/>
            <w:right w:val="none" w:sz="0" w:space="0" w:color="auto"/>
          </w:divBdr>
        </w:div>
        <w:div w:id="143201106">
          <w:marLeft w:val="640"/>
          <w:marRight w:val="0"/>
          <w:marTop w:val="0"/>
          <w:marBottom w:val="0"/>
          <w:divBdr>
            <w:top w:val="none" w:sz="0" w:space="0" w:color="auto"/>
            <w:left w:val="none" w:sz="0" w:space="0" w:color="auto"/>
            <w:bottom w:val="none" w:sz="0" w:space="0" w:color="auto"/>
            <w:right w:val="none" w:sz="0" w:space="0" w:color="auto"/>
          </w:divBdr>
        </w:div>
        <w:div w:id="1007102246">
          <w:marLeft w:val="640"/>
          <w:marRight w:val="0"/>
          <w:marTop w:val="0"/>
          <w:marBottom w:val="0"/>
          <w:divBdr>
            <w:top w:val="none" w:sz="0" w:space="0" w:color="auto"/>
            <w:left w:val="none" w:sz="0" w:space="0" w:color="auto"/>
            <w:bottom w:val="none" w:sz="0" w:space="0" w:color="auto"/>
            <w:right w:val="none" w:sz="0" w:space="0" w:color="auto"/>
          </w:divBdr>
        </w:div>
        <w:div w:id="1770586124">
          <w:marLeft w:val="640"/>
          <w:marRight w:val="0"/>
          <w:marTop w:val="0"/>
          <w:marBottom w:val="0"/>
          <w:divBdr>
            <w:top w:val="none" w:sz="0" w:space="0" w:color="auto"/>
            <w:left w:val="none" w:sz="0" w:space="0" w:color="auto"/>
            <w:bottom w:val="none" w:sz="0" w:space="0" w:color="auto"/>
            <w:right w:val="none" w:sz="0" w:space="0" w:color="auto"/>
          </w:divBdr>
        </w:div>
        <w:div w:id="1051466817">
          <w:marLeft w:val="640"/>
          <w:marRight w:val="0"/>
          <w:marTop w:val="0"/>
          <w:marBottom w:val="0"/>
          <w:divBdr>
            <w:top w:val="none" w:sz="0" w:space="0" w:color="auto"/>
            <w:left w:val="none" w:sz="0" w:space="0" w:color="auto"/>
            <w:bottom w:val="none" w:sz="0" w:space="0" w:color="auto"/>
            <w:right w:val="none" w:sz="0" w:space="0" w:color="auto"/>
          </w:divBdr>
        </w:div>
        <w:div w:id="607276294">
          <w:marLeft w:val="640"/>
          <w:marRight w:val="0"/>
          <w:marTop w:val="0"/>
          <w:marBottom w:val="0"/>
          <w:divBdr>
            <w:top w:val="none" w:sz="0" w:space="0" w:color="auto"/>
            <w:left w:val="none" w:sz="0" w:space="0" w:color="auto"/>
            <w:bottom w:val="none" w:sz="0" w:space="0" w:color="auto"/>
            <w:right w:val="none" w:sz="0" w:space="0" w:color="auto"/>
          </w:divBdr>
        </w:div>
        <w:div w:id="1557548314">
          <w:marLeft w:val="640"/>
          <w:marRight w:val="0"/>
          <w:marTop w:val="0"/>
          <w:marBottom w:val="0"/>
          <w:divBdr>
            <w:top w:val="none" w:sz="0" w:space="0" w:color="auto"/>
            <w:left w:val="none" w:sz="0" w:space="0" w:color="auto"/>
            <w:bottom w:val="none" w:sz="0" w:space="0" w:color="auto"/>
            <w:right w:val="none" w:sz="0" w:space="0" w:color="auto"/>
          </w:divBdr>
        </w:div>
      </w:divsChild>
    </w:div>
    <w:div w:id="1079255993">
      <w:bodyDiv w:val="1"/>
      <w:marLeft w:val="0"/>
      <w:marRight w:val="0"/>
      <w:marTop w:val="0"/>
      <w:marBottom w:val="0"/>
      <w:divBdr>
        <w:top w:val="none" w:sz="0" w:space="0" w:color="auto"/>
        <w:left w:val="none" w:sz="0" w:space="0" w:color="auto"/>
        <w:bottom w:val="none" w:sz="0" w:space="0" w:color="auto"/>
        <w:right w:val="none" w:sz="0" w:space="0" w:color="auto"/>
      </w:divBdr>
      <w:divsChild>
        <w:div w:id="1523786500">
          <w:marLeft w:val="640"/>
          <w:marRight w:val="0"/>
          <w:marTop w:val="0"/>
          <w:marBottom w:val="0"/>
          <w:divBdr>
            <w:top w:val="none" w:sz="0" w:space="0" w:color="auto"/>
            <w:left w:val="none" w:sz="0" w:space="0" w:color="auto"/>
            <w:bottom w:val="none" w:sz="0" w:space="0" w:color="auto"/>
            <w:right w:val="none" w:sz="0" w:space="0" w:color="auto"/>
          </w:divBdr>
        </w:div>
        <w:div w:id="1987274600">
          <w:marLeft w:val="640"/>
          <w:marRight w:val="0"/>
          <w:marTop w:val="0"/>
          <w:marBottom w:val="0"/>
          <w:divBdr>
            <w:top w:val="none" w:sz="0" w:space="0" w:color="auto"/>
            <w:left w:val="none" w:sz="0" w:space="0" w:color="auto"/>
            <w:bottom w:val="none" w:sz="0" w:space="0" w:color="auto"/>
            <w:right w:val="none" w:sz="0" w:space="0" w:color="auto"/>
          </w:divBdr>
        </w:div>
        <w:div w:id="1132093155">
          <w:marLeft w:val="640"/>
          <w:marRight w:val="0"/>
          <w:marTop w:val="0"/>
          <w:marBottom w:val="0"/>
          <w:divBdr>
            <w:top w:val="none" w:sz="0" w:space="0" w:color="auto"/>
            <w:left w:val="none" w:sz="0" w:space="0" w:color="auto"/>
            <w:bottom w:val="none" w:sz="0" w:space="0" w:color="auto"/>
            <w:right w:val="none" w:sz="0" w:space="0" w:color="auto"/>
          </w:divBdr>
        </w:div>
        <w:div w:id="928779072">
          <w:marLeft w:val="640"/>
          <w:marRight w:val="0"/>
          <w:marTop w:val="0"/>
          <w:marBottom w:val="0"/>
          <w:divBdr>
            <w:top w:val="none" w:sz="0" w:space="0" w:color="auto"/>
            <w:left w:val="none" w:sz="0" w:space="0" w:color="auto"/>
            <w:bottom w:val="none" w:sz="0" w:space="0" w:color="auto"/>
            <w:right w:val="none" w:sz="0" w:space="0" w:color="auto"/>
          </w:divBdr>
        </w:div>
        <w:div w:id="164058446">
          <w:marLeft w:val="640"/>
          <w:marRight w:val="0"/>
          <w:marTop w:val="0"/>
          <w:marBottom w:val="0"/>
          <w:divBdr>
            <w:top w:val="none" w:sz="0" w:space="0" w:color="auto"/>
            <w:left w:val="none" w:sz="0" w:space="0" w:color="auto"/>
            <w:bottom w:val="none" w:sz="0" w:space="0" w:color="auto"/>
            <w:right w:val="none" w:sz="0" w:space="0" w:color="auto"/>
          </w:divBdr>
        </w:div>
        <w:div w:id="1978564044">
          <w:marLeft w:val="640"/>
          <w:marRight w:val="0"/>
          <w:marTop w:val="0"/>
          <w:marBottom w:val="0"/>
          <w:divBdr>
            <w:top w:val="none" w:sz="0" w:space="0" w:color="auto"/>
            <w:left w:val="none" w:sz="0" w:space="0" w:color="auto"/>
            <w:bottom w:val="none" w:sz="0" w:space="0" w:color="auto"/>
            <w:right w:val="none" w:sz="0" w:space="0" w:color="auto"/>
          </w:divBdr>
        </w:div>
        <w:div w:id="1555267499">
          <w:marLeft w:val="640"/>
          <w:marRight w:val="0"/>
          <w:marTop w:val="0"/>
          <w:marBottom w:val="0"/>
          <w:divBdr>
            <w:top w:val="none" w:sz="0" w:space="0" w:color="auto"/>
            <w:left w:val="none" w:sz="0" w:space="0" w:color="auto"/>
            <w:bottom w:val="none" w:sz="0" w:space="0" w:color="auto"/>
            <w:right w:val="none" w:sz="0" w:space="0" w:color="auto"/>
          </w:divBdr>
        </w:div>
      </w:divsChild>
    </w:div>
    <w:div w:id="1161240303">
      <w:bodyDiv w:val="1"/>
      <w:marLeft w:val="0"/>
      <w:marRight w:val="0"/>
      <w:marTop w:val="0"/>
      <w:marBottom w:val="0"/>
      <w:divBdr>
        <w:top w:val="none" w:sz="0" w:space="0" w:color="auto"/>
        <w:left w:val="none" w:sz="0" w:space="0" w:color="auto"/>
        <w:bottom w:val="none" w:sz="0" w:space="0" w:color="auto"/>
        <w:right w:val="none" w:sz="0" w:space="0" w:color="auto"/>
      </w:divBdr>
      <w:divsChild>
        <w:div w:id="1047996208">
          <w:marLeft w:val="640"/>
          <w:marRight w:val="0"/>
          <w:marTop w:val="0"/>
          <w:marBottom w:val="0"/>
          <w:divBdr>
            <w:top w:val="none" w:sz="0" w:space="0" w:color="auto"/>
            <w:left w:val="none" w:sz="0" w:space="0" w:color="auto"/>
            <w:bottom w:val="none" w:sz="0" w:space="0" w:color="auto"/>
            <w:right w:val="none" w:sz="0" w:space="0" w:color="auto"/>
          </w:divBdr>
        </w:div>
        <w:div w:id="1955819210">
          <w:marLeft w:val="640"/>
          <w:marRight w:val="0"/>
          <w:marTop w:val="0"/>
          <w:marBottom w:val="0"/>
          <w:divBdr>
            <w:top w:val="none" w:sz="0" w:space="0" w:color="auto"/>
            <w:left w:val="none" w:sz="0" w:space="0" w:color="auto"/>
            <w:bottom w:val="none" w:sz="0" w:space="0" w:color="auto"/>
            <w:right w:val="none" w:sz="0" w:space="0" w:color="auto"/>
          </w:divBdr>
        </w:div>
        <w:div w:id="61103468">
          <w:marLeft w:val="640"/>
          <w:marRight w:val="0"/>
          <w:marTop w:val="0"/>
          <w:marBottom w:val="0"/>
          <w:divBdr>
            <w:top w:val="none" w:sz="0" w:space="0" w:color="auto"/>
            <w:left w:val="none" w:sz="0" w:space="0" w:color="auto"/>
            <w:bottom w:val="none" w:sz="0" w:space="0" w:color="auto"/>
            <w:right w:val="none" w:sz="0" w:space="0" w:color="auto"/>
          </w:divBdr>
        </w:div>
        <w:div w:id="1655141364">
          <w:marLeft w:val="640"/>
          <w:marRight w:val="0"/>
          <w:marTop w:val="0"/>
          <w:marBottom w:val="0"/>
          <w:divBdr>
            <w:top w:val="none" w:sz="0" w:space="0" w:color="auto"/>
            <w:left w:val="none" w:sz="0" w:space="0" w:color="auto"/>
            <w:bottom w:val="none" w:sz="0" w:space="0" w:color="auto"/>
            <w:right w:val="none" w:sz="0" w:space="0" w:color="auto"/>
          </w:divBdr>
        </w:div>
        <w:div w:id="178853996">
          <w:marLeft w:val="640"/>
          <w:marRight w:val="0"/>
          <w:marTop w:val="0"/>
          <w:marBottom w:val="0"/>
          <w:divBdr>
            <w:top w:val="none" w:sz="0" w:space="0" w:color="auto"/>
            <w:left w:val="none" w:sz="0" w:space="0" w:color="auto"/>
            <w:bottom w:val="none" w:sz="0" w:space="0" w:color="auto"/>
            <w:right w:val="none" w:sz="0" w:space="0" w:color="auto"/>
          </w:divBdr>
        </w:div>
        <w:div w:id="1917090565">
          <w:marLeft w:val="640"/>
          <w:marRight w:val="0"/>
          <w:marTop w:val="0"/>
          <w:marBottom w:val="0"/>
          <w:divBdr>
            <w:top w:val="none" w:sz="0" w:space="0" w:color="auto"/>
            <w:left w:val="none" w:sz="0" w:space="0" w:color="auto"/>
            <w:bottom w:val="none" w:sz="0" w:space="0" w:color="auto"/>
            <w:right w:val="none" w:sz="0" w:space="0" w:color="auto"/>
          </w:divBdr>
        </w:div>
        <w:div w:id="816531641">
          <w:marLeft w:val="640"/>
          <w:marRight w:val="0"/>
          <w:marTop w:val="0"/>
          <w:marBottom w:val="0"/>
          <w:divBdr>
            <w:top w:val="none" w:sz="0" w:space="0" w:color="auto"/>
            <w:left w:val="none" w:sz="0" w:space="0" w:color="auto"/>
            <w:bottom w:val="none" w:sz="0" w:space="0" w:color="auto"/>
            <w:right w:val="none" w:sz="0" w:space="0" w:color="auto"/>
          </w:divBdr>
        </w:div>
        <w:div w:id="1409034530">
          <w:marLeft w:val="640"/>
          <w:marRight w:val="0"/>
          <w:marTop w:val="0"/>
          <w:marBottom w:val="0"/>
          <w:divBdr>
            <w:top w:val="none" w:sz="0" w:space="0" w:color="auto"/>
            <w:left w:val="none" w:sz="0" w:space="0" w:color="auto"/>
            <w:bottom w:val="none" w:sz="0" w:space="0" w:color="auto"/>
            <w:right w:val="none" w:sz="0" w:space="0" w:color="auto"/>
          </w:divBdr>
        </w:div>
      </w:divsChild>
    </w:div>
    <w:div w:id="1731029089">
      <w:bodyDiv w:val="1"/>
      <w:marLeft w:val="0"/>
      <w:marRight w:val="0"/>
      <w:marTop w:val="0"/>
      <w:marBottom w:val="0"/>
      <w:divBdr>
        <w:top w:val="none" w:sz="0" w:space="0" w:color="auto"/>
        <w:left w:val="none" w:sz="0" w:space="0" w:color="auto"/>
        <w:bottom w:val="none" w:sz="0" w:space="0" w:color="auto"/>
        <w:right w:val="none" w:sz="0" w:space="0" w:color="auto"/>
      </w:divBdr>
      <w:divsChild>
        <w:div w:id="1073963871">
          <w:marLeft w:val="480"/>
          <w:marRight w:val="0"/>
          <w:marTop w:val="0"/>
          <w:marBottom w:val="0"/>
          <w:divBdr>
            <w:top w:val="none" w:sz="0" w:space="0" w:color="auto"/>
            <w:left w:val="none" w:sz="0" w:space="0" w:color="auto"/>
            <w:bottom w:val="none" w:sz="0" w:space="0" w:color="auto"/>
            <w:right w:val="none" w:sz="0" w:space="0" w:color="auto"/>
          </w:divBdr>
        </w:div>
        <w:div w:id="169681438">
          <w:marLeft w:val="480"/>
          <w:marRight w:val="0"/>
          <w:marTop w:val="0"/>
          <w:marBottom w:val="0"/>
          <w:divBdr>
            <w:top w:val="none" w:sz="0" w:space="0" w:color="auto"/>
            <w:left w:val="none" w:sz="0" w:space="0" w:color="auto"/>
            <w:bottom w:val="none" w:sz="0" w:space="0" w:color="auto"/>
            <w:right w:val="none" w:sz="0" w:space="0" w:color="auto"/>
          </w:divBdr>
        </w:div>
        <w:div w:id="805045724">
          <w:marLeft w:val="480"/>
          <w:marRight w:val="0"/>
          <w:marTop w:val="0"/>
          <w:marBottom w:val="0"/>
          <w:divBdr>
            <w:top w:val="none" w:sz="0" w:space="0" w:color="auto"/>
            <w:left w:val="none" w:sz="0" w:space="0" w:color="auto"/>
            <w:bottom w:val="none" w:sz="0" w:space="0" w:color="auto"/>
            <w:right w:val="none" w:sz="0" w:space="0" w:color="auto"/>
          </w:divBdr>
        </w:div>
        <w:div w:id="1288052116">
          <w:marLeft w:val="480"/>
          <w:marRight w:val="0"/>
          <w:marTop w:val="0"/>
          <w:marBottom w:val="0"/>
          <w:divBdr>
            <w:top w:val="none" w:sz="0" w:space="0" w:color="auto"/>
            <w:left w:val="none" w:sz="0" w:space="0" w:color="auto"/>
            <w:bottom w:val="none" w:sz="0" w:space="0" w:color="auto"/>
            <w:right w:val="none" w:sz="0" w:space="0" w:color="auto"/>
          </w:divBdr>
        </w:div>
        <w:div w:id="1926567249">
          <w:marLeft w:val="480"/>
          <w:marRight w:val="0"/>
          <w:marTop w:val="0"/>
          <w:marBottom w:val="0"/>
          <w:divBdr>
            <w:top w:val="none" w:sz="0" w:space="0" w:color="auto"/>
            <w:left w:val="none" w:sz="0" w:space="0" w:color="auto"/>
            <w:bottom w:val="none" w:sz="0" w:space="0" w:color="auto"/>
            <w:right w:val="none" w:sz="0" w:space="0" w:color="auto"/>
          </w:divBdr>
        </w:div>
        <w:div w:id="208346037">
          <w:marLeft w:val="480"/>
          <w:marRight w:val="0"/>
          <w:marTop w:val="0"/>
          <w:marBottom w:val="0"/>
          <w:divBdr>
            <w:top w:val="none" w:sz="0" w:space="0" w:color="auto"/>
            <w:left w:val="none" w:sz="0" w:space="0" w:color="auto"/>
            <w:bottom w:val="none" w:sz="0" w:space="0" w:color="auto"/>
            <w:right w:val="none" w:sz="0" w:space="0" w:color="auto"/>
          </w:divBdr>
        </w:div>
        <w:div w:id="1565675665">
          <w:marLeft w:val="480"/>
          <w:marRight w:val="0"/>
          <w:marTop w:val="0"/>
          <w:marBottom w:val="0"/>
          <w:divBdr>
            <w:top w:val="none" w:sz="0" w:space="0" w:color="auto"/>
            <w:left w:val="none" w:sz="0" w:space="0" w:color="auto"/>
            <w:bottom w:val="none" w:sz="0" w:space="0" w:color="auto"/>
            <w:right w:val="none" w:sz="0" w:space="0" w:color="auto"/>
          </w:divBdr>
        </w:div>
      </w:divsChild>
    </w:div>
    <w:div w:id="1896038631">
      <w:bodyDiv w:val="1"/>
      <w:marLeft w:val="0"/>
      <w:marRight w:val="0"/>
      <w:marTop w:val="0"/>
      <w:marBottom w:val="0"/>
      <w:divBdr>
        <w:top w:val="none" w:sz="0" w:space="0" w:color="auto"/>
        <w:left w:val="none" w:sz="0" w:space="0" w:color="auto"/>
        <w:bottom w:val="none" w:sz="0" w:space="0" w:color="auto"/>
        <w:right w:val="none" w:sz="0" w:space="0" w:color="auto"/>
      </w:divBdr>
      <w:divsChild>
        <w:div w:id="594752312">
          <w:marLeft w:val="480"/>
          <w:marRight w:val="0"/>
          <w:marTop w:val="0"/>
          <w:marBottom w:val="0"/>
          <w:divBdr>
            <w:top w:val="none" w:sz="0" w:space="0" w:color="auto"/>
            <w:left w:val="none" w:sz="0" w:space="0" w:color="auto"/>
            <w:bottom w:val="none" w:sz="0" w:space="0" w:color="auto"/>
            <w:right w:val="none" w:sz="0" w:space="0" w:color="auto"/>
          </w:divBdr>
        </w:div>
        <w:div w:id="1485243618">
          <w:marLeft w:val="480"/>
          <w:marRight w:val="0"/>
          <w:marTop w:val="0"/>
          <w:marBottom w:val="0"/>
          <w:divBdr>
            <w:top w:val="none" w:sz="0" w:space="0" w:color="auto"/>
            <w:left w:val="none" w:sz="0" w:space="0" w:color="auto"/>
            <w:bottom w:val="none" w:sz="0" w:space="0" w:color="auto"/>
            <w:right w:val="none" w:sz="0" w:space="0" w:color="auto"/>
          </w:divBdr>
        </w:div>
        <w:div w:id="776749822">
          <w:marLeft w:val="480"/>
          <w:marRight w:val="0"/>
          <w:marTop w:val="0"/>
          <w:marBottom w:val="0"/>
          <w:divBdr>
            <w:top w:val="none" w:sz="0" w:space="0" w:color="auto"/>
            <w:left w:val="none" w:sz="0" w:space="0" w:color="auto"/>
            <w:bottom w:val="none" w:sz="0" w:space="0" w:color="auto"/>
            <w:right w:val="none" w:sz="0" w:space="0" w:color="auto"/>
          </w:divBdr>
        </w:div>
        <w:div w:id="2101486776">
          <w:marLeft w:val="480"/>
          <w:marRight w:val="0"/>
          <w:marTop w:val="0"/>
          <w:marBottom w:val="0"/>
          <w:divBdr>
            <w:top w:val="none" w:sz="0" w:space="0" w:color="auto"/>
            <w:left w:val="none" w:sz="0" w:space="0" w:color="auto"/>
            <w:bottom w:val="none" w:sz="0" w:space="0" w:color="auto"/>
            <w:right w:val="none" w:sz="0" w:space="0" w:color="auto"/>
          </w:divBdr>
        </w:div>
        <w:div w:id="1148207886">
          <w:marLeft w:val="480"/>
          <w:marRight w:val="0"/>
          <w:marTop w:val="0"/>
          <w:marBottom w:val="0"/>
          <w:divBdr>
            <w:top w:val="none" w:sz="0" w:space="0" w:color="auto"/>
            <w:left w:val="none" w:sz="0" w:space="0" w:color="auto"/>
            <w:bottom w:val="none" w:sz="0" w:space="0" w:color="auto"/>
            <w:right w:val="none" w:sz="0" w:space="0" w:color="auto"/>
          </w:divBdr>
        </w:div>
        <w:div w:id="856233203">
          <w:marLeft w:val="480"/>
          <w:marRight w:val="0"/>
          <w:marTop w:val="0"/>
          <w:marBottom w:val="0"/>
          <w:divBdr>
            <w:top w:val="none" w:sz="0" w:space="0" w:color="auto"/>
            <w:left w:val="none" w:sz="0" w:space="0" w:color="auto"/>
            <w:bottom w:val="none" w:sz="0" w:space="0" w:color="auto"/>
            <w:right w:val="none" w:sz="0" w:space="0" w:color="auto"/>
          </w:divBdr>
        </w:div>
        <w:div w:id="2057772793">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14475A366A41CF821C4CE861DF340B"/>
        <w:category>
          <w:name w:val="General"/>
          <w:gallery w:val="placeholder"/>
        </w:category>
        <w:types>
          <w:type w:val="bbPlcHdr"/>
        </w:types>
        <w:behaviors>
          <w:behavior w:val="content"/>
        </w:behaviors>
        <w:guid w:val="{DF1093BF-5267-4AB5-9AE5-31196081B53C}"/>
      </w:docPartPr>
      <w:docPartBody>
        <w:p w:rsidR="0074417C" w:rsidRDefault="0074417C" w:rsidP="0074417C">
          <w:pPr>
            <w:pStyle w:val="7814475A366A41CF821C4CE861DF340B"/>
          </w:pPr>
          <w:r w:rsidRPr="00821BCA">
            <w:rPr>
              <w:rStyle w:val="Platzhaltertext"/>
            </w:rPr>
            <w:t>Click or tap here to enter text.</w:t>
          </w:r>
        </w:p>
      </w:docPartBody>
    </w:docPart>
    <w:docPart>
      <w:docPartPr>
        <w:name w:val="CFE3BBC59CDF456F97CE6B110F508D24"/>
        <w:category>
          <w:name w:val="General"/>
          <w:gallery w:val="placeholder"/>
        </w:category>
        <w:types>
          <w:type w:val="bbPlcHdr"/>
        </w:types>
        <w:behaviors>
          <w:behavior w:val="content"/>
        </w:behaviors>
        <w:guid w:val="{2E4A1FDC-6533-440B-AAE5-955F7DA080E4}"/>
      </w:docPartPr>
      <w:docPartBody>
        <w:p w:rsidR="0074417C" w:rsidRDefault="0074417C" w:rsidP="0074417C">
          <w:pPr>
            <w:pStyle w:val="CFE3BBC59CDF456F97CE6B110F508D24"/>
          </w:pPr>
          <w:r w:rsidRPr="00821BCA">
            <w:rPr>
              <w:rStyle w:val="Platzhaltertext"/>
            </w:rPr>
            <w:t>Click or tap here to enter text.</w:t>
          </w:r>
        </w:p>
      </w:docPartBody>
    </w:docPart>
    <w:docPart>
      <w:docPartPr>
        <w:name w:val="0C2A84EECABA4063A18DC276E9C150C6"/>
        <w:category>
          <w:name w:val="General"/>
          <w:gallery w:val="placeholder"/>
        </w:category>
        <w:types>
          <w:type w:val="bbPlcHdr"/>
        </w:types>
        <w:behaviors>
          <w:behavior w:val="content"/>
        </w:behaviors>
        <w:guid w:val="{6F0375B5-2362-4089-8034-730D224CF42B}"/>
      </w:docPartPr>
      <w:docPartBody>
        <w:p w:rsidR="0074417C" w:rsidRDefault="0074417C" w:rsidP="0074417C">
          <w:pPr>
            <w:pStyle w:val="0C2A84EECABA4063A18DC276E9C150C6"/>
          </w:pPr>
          <w:r w:rsidRPr="00CF42B3">
            <w:rPr>
              <w:rStyle w:val="Platzhalt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A6DD15DB-0EF4-478A-94F5-D21FD8989C43}"/>
      </w:docPartPr>
      <w:docPartBody>
        <w:p w:rsidR="0074417C" w:rsidRDefault="0074417C">
          <w:r w:rsidRPr="00536FCE">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17C"/>
    <w:rsid w:val="00040321"/>
    <w:rsid w:val="004D7B6B"/>
    <w:rsid w:val="0074417C"/>
    <w:rsid w:val="009E3E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417C"/>
    <w:rPr>
      <w:color w:val="666666"/>
    </w:rPr>
  </w:style>
  <w:style w:type="paragraph" w:customStyle="1" w:styleId="7814475A366A41CF821C4CE861DF340B">
    <w:name w:val="7814475A366A41CF821C4CE861DF340B"/>
    <w:rsid w:val="0074417C"/>
  </w:style>
  <w:style w:type="paragraph" w:customStyle="1" w:styleId="CFE3BBC59CDF456F97CE6B110F508D24">
    <w:name w:val="CFE3BBC59CDF456F97CE6B110F508D24"/>
    <w:rsid w:val="0074417C"/>
  </w:style>
  <w:style w:type="paragraph" w:customStyle="1" w:styleId="0C2A84EECABA4063A18DC276E9C150C6">
    <w:name w:val="0C2A84EECABA4063A18DC276E9C150C6"/>
    <w:rsid w:val="007441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9AEAE54-B594-4343-BB91-AF060DBECCFB}">
  <we:reference id="wa104382081" version="1.55.1.0" store="en-US" storeType="OMEX"/>
  <we:alternateReferences>
    <we:reference id="wa104382081" version="1.55.1.0" store="" storeType="OMEX"/>
  </we:alternateReferences>
  <we:properties>
    <we:property name="MENDELEY_CITATIONS" value="[{&quot;citationID&quot;:&quot;MENDELEY_CITATION_bdbf9d7a-c832-4fad-981c-89f4bb42b70f&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YmRiZjlkN2EtYzgzMi00ZmFkLTk4MWMtODlmNGJiNDJiNzBmIiwicHJvcGVydGllcyI6eyJub3RlSW5kZXgiOjB9LCJpc0VkaXRlZCI6ZmFsc2UsIm1hbnVhbE92ZXJyaWRlIjp7ImlzTWFudWFsbHlPdmVycmlkZGVuIjpmYWxzZSwiY2l0ZXByb2NUZXh0IjoiPHN1cD4xPC9zdXA+IiwibWFudWFsT3ZlcnJpZGVUZXh0IjoiIn0sImNpdGF0aW9uSXRlbXMiOlt7ImlkIjoiNzU1YjNiMjMtNzQwOS0zNjVmLWEzMjYtODc2OTQ1YmM4YWIxIiwiaXRlbURhdGEiOnsidHlwZSI6ImFydGljbGUtam91cm5hbCIsImlkIjoiNzU1YjNiMjMtNzQwOS0zNjVmLWEzMjYtODc2OTQ1YmM4YWIxIiwidGl0bGUiOiJOYW5vcGFydGljbGXigJBtZWRpYXRlZCB0YXJnZXRpbmcgb2YgYXV0b2FudGlnZW4gcGVwdGlkZSB0byBjcm9zc+KAkHByZXNlbnRpbmcgbGl2ZXIgc2ludXNvaWRhbCBlbmRvdGhlbGlhbCBjZWxscyBwcm90ZWN0cyBmcm9tIENEOCBU4oCQY2VsbOKAkGRyaXZlbiBhdXRvaW1tdW5lIGNob2xhbmdpdGlzIiwiYXV0aG9yIjpbeyJmYW1pbHkiOiJDYXJhbWJpYSIsImdpdmVuIjoiQW50b25lbGxhIiwicGFyc2UtbmFtZXMiOmZhbHNlLCJkcm9wcGluZy1wYXJ0aWNsZSI6IiIsIm5vbi1kcm9wcGluZy1wYXJ0aWNsZSI6IiJ9LHsiZmFtaWx5IjoiR290dHdpY2siLCJnaXZlbiI6IkNvcm5lbGlhIiwicGFyc2UtbmFtZXMiOmZhbHNlLCJkcm9wcGluZy1wYXJ0aWNsZSI6IiIsIm5vbi1kcm9wcGluZy1wYXJ0aWNsZSI6IiJ9LHsiZmFtaWx5IjoiU2Nod2luZ2UiLCJnaXZlbiI6IkRvcm90aGVlIiwicGFyc2UtbmFtZXMiOmZhbHNlLCJkcm9wcGluZy1wYXJ0aWNsZSI6IiIsIm5vbi1kcm9wcGluZy1wYXJ0aWNsZSI6IiJ9LHsiZmFtaWx5IjoiU3RlaW4iLCJnaXZlbiI6IlN0ZXBoYW5pZSIsInBhcnNlLW5hbWVzIjpmYWxzZSwiZHJvcHBpbmctcGFydGljbGUiOiIiLCJub24tZHJvcHBpbmctcGFydGljbGUiOiIifSx7ImZhbWlseSI6IkRpZ2lnb3ciLCJnaXZlbiI6IlJlaW5hbGRvIiwicGFyc2UtbmFtZXMiOmZhbHNlLCJkcm9wcGluZy1wYXJ0aWNsZSI6IiIsIm5vbi1kcm9wcGluZy1wYXJ0aWNsZSI6IiJ9LHsiZmFtaWx5IjoixZ5lbGVjaSIsImdpdmVuIjoiTXVoYXJyZW0iLCJwYXJzZS1uYW1lcyI6ZmFsc2UsImRyb3BwaW5nLXBhcnRpY2xlIjoiIiwibm9uLWRyb3BwaW5nLXBhcnRpY2xlIjoiIn0seyJmYW1pbHkiOiJNdW5nYWxwYXJhIiwiZ2l2ZW4iOiJEaXNoYSIsInBhcnNlLW5hbWVzIjpmYWxzZSwiZHJvcHBpbmctcGFydGljbGUiOiIiLCJub24tZHJvcHBpbmctcGFydGljbGUiOiIifSx7ImZhbWlseSI6IkhlaW5lIiwiZ2l2ZW4iOiJNYXJrdXMiLCJwYXJzZS1uYW1lcyI6ZmFsc2UsImRyb3BwaW5nLXBhcnRpY2xlIjoiIiwibm9uLWRyb3BwaW5nLXBhcnRpY2xlIjoiIn0seyJmYW1pbHkiOiJTY2h1cmFuIiwiZ2l2ZW4iOiJGZW5qYSBBLiIsInBhcnNlLW5hbWVzIjpmYWxzZSwiZHJvcHBpbmctcGFydGljbGUiOiIiLCJub24tZHJvcHBpbmctcGFydGljbGUiOiIifSx7ImZhbWlseSI6IkNvcmJhbiIsImdpdmVuIjoiQ2FybG90dGEiLCJwYXJzZS1uYW1lcyI6ZmFsc2UsImRyb3BwaW5nLXBhcnRpY2xlIjoiIiwibm9uLWRyb3BwaW5nLXBhcnRpY2xlIjoiIn0seyJmYW1pbHkiOiJMb2hzZSIsImdpdmVuIjoiQW5zZ2FyIFcuIiwicGFyc2UtbmFtZXMiOmZhbHNlLCJkcm9wcGluZy1wYXJ0aWNsZSI6IiIsIm5vbi1kcm9wcGluZy1wYXJ0aWNsZSI6IiJ9LHsiZmFtaWx5IjoiU2NocmFtbSIsImdpdmVuIjoiQ2hyaXN0b3BoIiwicGFyc2UtbmFtZXMiOmZhbHNlLCJkcm9wcGluZy1wYXJ0aWNsZSI6IiIsIm5vbi1kcm9wcGluZy1wYXJ0aWNsZSI6IiJ9LHsiZmFtaWx5IjoiSGVlcmVuIiwiZ2l2ZW4iOiJKb2VyZyIsInBhcnNlLW5hbWVzIjpmYWxzZSwiZHJvcHBpbmctcGFydGljbGUiOiIiLCJub24tZHJvcHBpbmctcGFydGljbGUiOiIifSx7ImZhbWlseSI6IkhlcmtlbCIsImdpdmVuIjoiSm9oYW5uZXMiLCJwYXJzZS1uYW1lcyI6ZmFsc2UsImRyb3BwaW5nLXBhcnRpY2xlIjoiIiwibm9uLWRyb3BwaW5nLXBhcnRpY2xlIjoiIn1dLCJjb250YWluZXItdGl0bGUiOiJJbW11bm9sb2d5IiwiY29udGFpbmVyLXRpdGxlLXNob3J0IjoiSW1tdW5vbG9neSIsIkRPSSI6IjEwLjExMTEvaW1tLjEzMjk4IiwiSVNTTiI6IjAwMTktMjgwNSIsImlzc3VlZCI6eyJkYXRlLXBhcnRzIjpbWzIwMjEsNCw3XV19LCJwYWdlIjoiNDUyLTQ2MyIsImFic3RyYWN0IjoiPHA+QXV0b2ltbXVuZSBkaXNlYXNlcyBhcmUgY2F1c2VkIGJ5IGFkYXB0aXZlIGltbXVuZSByZXNwb25zZXMgdG8gc2VsZuKAkGFudGlnZW5zLiBUaGUgZGV2ZWxvcG1lbnQgb2YgYW50aWdlbuKAkHNwZWNpZmljIHRoZXJhcGllcyB0aGF0IHN1cHByZXNzIGRpc2Vhc2XigJByZWxhdGVkLCBidXQgbm90IHVucmVsYXRlZCBpbW11bmUgcmVzcG9uc2VzIGluIGdlbmVyYWwsIGlzIGFuIGltcG9ydGFudCBnb2FsIG9mIGJpb21lZGljYWwgcmVzZWFyY2guIFdlIGhhdmUgcHJldmlvdXNseSBzaG93biB0aGF0IGRlbGl2ZXJ5IG9mIG15ZWxpbiBwZXB0aWRlcyB0byBsaXZlciBzaW51c29pZGFsIGVuZG90aGVsaWFsIGNlbGxzIChMU0VDcykgdXNpbmcgTFNFQ+KAkHRhcmdldGluZyBuYW5vcGFydGljbGVzIHByb3ZpZGVzIGVmZmVjdGl2ZSBwcm90ZWN0aW9uIGZyb20gQ0Q0IFTigJBjZWxs4oCQZHJpdmVuIGF1dG9pbW11bmUgZW5jZXBoYWxvbXllbGl0aXMuIEhlcmUsIHdlIGludmVzdGlnYXRlZCB3aGV0aGVyIHRoaXMgbWV0aG9kb2xvZ3kgbWlnaHQgYWxzbyBzZXJ2ZSBhbnRpZ2Vu4oCQc3BlY2lmaWMgdHJlYXRtZW50IG9mIGEgQ0Q4IFTigJBjZWxs4oCQZHJpdmVuIGF1dG9pbW11bmUgZGlzZWFzZS4gQXMgYSBtb2RlbCBmb3IgQ0Q4IFTigJBjZWxs4oCQbWVkaWF0ZWQgYXV0b2ltbXVuaXR5LCB3ZSB1c2VkIE9U4oCQMSBU4oCQY2VsbOKAkGRyaXZlbiBjaG9sYW5naXRpcyBpbiBLMTTigJBPVkFwIG1pY2UgZXhwcmVzc2luZyB0aGUgY29nbmF0ZSBNSEMgSeKAkHJlc3RyaWN0ZWQgU0lJTkZFS0wgcGVwdGlkZSBpbiBjaG9sYW5naW9jeXRlcy4gVG8gc3R1ZHkgd2hldGhlciBwZXB0aWRlIGRlbGl2ZXJ5IHRvIExTRUNzIGNvdWxkIG1vZHVsYXRlIGNob2xhbmdpdGlzLCBTSUlORkVLTCBwZXB0aWRl4oCQY29uanVnYXRlZCBuYW5vcGFydGljbGVzIHdlcmUgYWRtaW5pc3RlcmVkIGludHJhdmVub3VzbHkgb25lIGRheSBiZWZvcmUgdHJhbnNmZXIgb2YgT1TigJAxIFQgY2VsbHM7IGZpdmUgZGF5cyBhZnRlciBjZWxsIHRyYW5zZmVyLCBsaXZlciBwYXRob2xvZ3kgYW5kIGhlcGF0aWMgaW5maWx0cmF0ZXMgd2VyZSBhbmFseXNlZC4gU0lJTkZFS0wgcGVwdGlkZeKAkGNvbmp1Z2F0ZWQgbmFub3BhcnRpY2xlcyB3ZXJlIHJhcGlkbHkgdGFrZW4gdXAgYnkgTFNFQ3MgaW4gdml2bywgd2hpY2ggZWZmZWN0aXZlbHkgY3Jvc3PigJBwcmVzZW50ZWQgdGhlIGRlbGl2ZXJlZCBwZXB0aWRlIG9uIE1IQyBJIG1vbGVjdWxlcy4gSW50cmlndWluZ2x5LCBLMTTigJBPVkFwIG1pY2UgcmVjZWl2aW5nIFNJSU5GRUtM4oCQbG9hZGVkIG5hbm9wYXJ0aWNsZXMgbWFuaWZlc3RlZCBzaWduaWZpY2FudGx5IHJlZHVjZWQgbGl2ZXIgZGFtYWdlIGNvbXBhcmVkIHdpdGggdmVoaWNsZeKAkHRyZWF0ZWQgSzE04oCQT1ZBcCBtaWNlLiBNZWNoYW5pc3RpY2FsbHksIHRyZWF0bWVudCB3aXRoIExTRUPigJB0YXJnZXRpbmcgU0lJTkZFS0zigJBsb2FkZWQgbmFub3BhcnRpY2xlcyBzaWduaWZpY2FudGx5IHJlZHVjZWQgdGhlIG51bWJlciBvZiBsaXZlcuKAkGluZmlsdHJhdGluZyBPVOKAkDEgVCBjZWxscywgd2hpY2ggdXDigJByZWd1bGF0ZWQgZXhwcmVzc2lvbiBvZiB0aGUgY2/igJBpbmhpYml0b3J5IHJlY2VwdG9yIFBE4oCQMSBhbmQgZG93buKAkHJlZ3VsYXRlZCBjeXRvdG94aWMgZWZmZWN0b3IgZnVuY3Rpb24gYW5kIGluZmxhbW1hdG9yeSBjeXRva2luZSBwcm9kdWN0aW9uLiBUaGVzZSBmaW5kaW5ncyBzaG93IHRoYXQgdG9sZXJvZ2VuaWMgTFNFQ3MgY2FuIGVmZmVjdGl2ZWx5IGludGVybmFsaXplIGNpcmN1bGF0aW5nIG5hbm9wYXJ0aWNsZXMgYW5kIGNyb3Nz4oCQcHJlc2VudCBuYW5vcGFydGljbGXigJBib3VuZCBwZXB0aWRlcyBvbiBNSEMgSSBtb2xlY3VsZXMuIFRoZXJlZm9yZSwgbmFub3BhcnRpY2xl4oCQbWVkaWF0ZWQgYXV0b2FudGlnZW4gcGVwdGlkZSBkZWxpdmVyeSB0byBMU0VDcyBtaWdodCBzZXJ2ZSB0aGUgYW50aWdlbuKAkHNwZWNpZmljIHRyZWF0bWVudCBvZiBDRDggVOKAkGNlbGzigJBkcml2ZW4gYXV0b2ltbXVuZSBkaXNlYXNlLjwvcD4iLCJpc3N1ZSI6IjQiLCJ2b2x1bWUiOiIxNjIifSwiaXNUZW1wb3JhcnkiOmZhbHNlfV19&quot;,&quot;citationItems&quot;:[{&quot;id&quot;:&quot;755b3b23-7409-365f-a326-876945bc8ab1&quot;,&quot;itemData&quot;:{&quot;type&quot;:&quot;article-journal&quot;,&quot;id&quot;:&quot;755b3b23-7409-365f-a326-876945bc8ab1&quot;,&quot;title&quot;:&quot;Nanoparticle‐mediated targeting of autoantigen peptide to cross‐presenting liver sinusoidal endothelial cells protects from CD8 T‐cell‐driven autoimmune cholangitis&quot;,&quot;author&quot;:[{&quot;family&quot;:&quot;Carambia&quot;,&quot;given&quot;:&quot;Antonella&quot;,&quot;parse-names&quot;:false,&quot;dropping-particle&quot;:&quot;&quot;,&quot;non-dropping-particle&quot;:&quot;&quot;},{&quot;family&quot;:&quot;Gottwick&quot;,&quot;given&quot;:&quot;Cornelia&quot;,&quot;parse-names&quot;:false,&quot;dropping-particle&quot;:&quot;&quot;,&quot;non-dropping-particle&quot;:&quot;&quot;},{&quot;family&quot;:&quot;Schwinge&quot;,&quot;given&quot;:&quot;Dorothee&quot;,&quot;parse-names&quot;:false,&quot;dropping-particle&quot;:&quot;&quot;,&quot;non-dropping-particle&quot;:&quot;&quot;},{&quot;family&quot;:&quot;Stein&quot;,&quot;given&quot;:&quot;Stephanie&quot;,&quot;parse-names&quot;:false,&quot;dropping-particle&quot;:&quot;&quot;,&quot;non-dropping-particle&quot;:&quot;&quot;},{&quot;family&quot;:&quot;Digigow&quot;,&quot;given&quot;:&quot;Reinaldo&quot;,&quot;parse-names&quot;:false,&quot;dropping-particle&quot;:&quot;&quot;,&quot;non-dropping-particle&quot;:&quot;&quot;},{&quot;family&quot;:&quot;Şeleci&quot;,&quot;given&quot;:&quot;Muharrem&quot;,&quot;parse-names&quot;:false,&quot;dropping-particle&quot;:&quot;&quot;,&quot;non-dropping-particle&quot;:&quot;&quot;},{&quot;family&quot;:&quot;Mungalpara&quot;,&quot;given&quot;:&quot;Disha&quot;,&quot;parse-names&quot;:false,&quot;dropping-particle&quot;:&quot;&quot;,&quot;non-dropping-particle&quot;:&quot;&quot;},{&quot;family&quot;:&quot;Heine&quot;,&quot;given&quot;:&quot;Markus&quot;,&quot;parse-names&quot;:false,&quot;dropping-particle&quot;:&quot;&quot;,&quot;non-dropping-particle&quot;:&quot;&quot;},{&quot;family&quot;:&quot;Schuran&quot;,&quot;given&quot;:&quot;Fenja A.&quot;,&quot;parse-names&quot;:false,&quot;dropping-particle&quot;:&quot;&quot;,&quot;non-dropping-particle&quot;:&quot;&quot;},{&quot;family&quot;:&quot;Corban&quot;,&quot;given&quot;:&quot;Carlotta&quot;,&quot;parse-names&quot;:false,&quot;dropping-particle&quot;:&quot;&quot;,&quot;non-dropping-particle&quot;:&quot;&quot;},{&quot;family&quot;:&quot;Lohse&quot;,&quot;given&quot;:&quot;Ansgar W.&quot;,&quot;parse-names&quot;:false,&quot;dropping-particle&quot;:&quot;&quot;,&quot;non-dropping-particle&quot;:&quot;&quot;},{&quot;family&quot;:&quot;Schramm&quot;,&quot;given&quot;:&quot;Christoph&quot;,&quot;parse-names&quot;:false,&quot;dropping-particle&quot;:&quot;&quot;,&quot;non-dropping-particle&quot;:&quot;&quot;},{&quot;family&quot;:&quot;Heeren&quot;,&quot;given&quot;:&quot;Joerg&quot;,&quot;parse-names&quot;:false,&quot;dropping-particle&quot;:&quot;&quot;,&quot;non-dropping-particle&quot;:&quot;&quot;},{&quot;family&quot;:&quot;Herkel&quot;,&quot;given&quot;:&quot;Johannes&quot;,&quot;parse-names&quot;:false,&quot;dropping-particle&quot;:&quot;&quot;,&quot;non-dropping-particle&quot;:&quot;&quot;}],&quot;container-title&quot;:&quot;Immunology&quot;,&quot;container-title-short&quot;:&quot;Immunology&quot;,&quot;DOI&quot;:&quot;10.1111/imm.13298&quot;,&quot;ISSN&quot;:&quot;0019-2805&quot;,&quot;issued&quot;:{&quot;date-parts&quot;:[[2021,4,7]]},&quot;page&quot;:&quot;452-463&quot;,&quot;abstract&quot;:&quot;&lt;p&gt;Autoimmune diseases are caused by adaptive immune responses to self‐antigens. The development of antigen‐specific therapies that suppress disease‐related, but not unrelated immune responses in general, is an important goal of biomedical research. We have previously shown that delivery of myelin peptides to liver sinusoidal endothelial cells (LSECs) using LSEC‐targeting nanoparticles provides effective protection from CD4 T‐cell‐driven autoimmune encephalomyelitis. Here, we investigated whether this methodology might also serve antigen‐specific treatment of a CD8 T‐cell‐driven autoimmune disease. As a model for CD8 T‐cell‐mediated autoimmunity, we used OT‐1 T‐cell‐driven cholangitis in K14‐OVAp mice expressing the cognate MHC I‐restricted SIINFEKL peptide in cholangiocytes. To study whether peptide delivery to LSECs could modulate cholangitis, SIINFEKL peptide‐conjugated nanoparticles were administered intravenously one day before transfer of OT‐1 T cells; five days after cell transfer, liver pathology and hepatic infiltrates were analysed. SIINFEKL peptide‐conjugated nanoparticles were rapidly taken up by LSECs in vivo, which effectively cross‐presented the delivered peptide on MHC I molecules. Intriguingly, K14‐OVAp mice receiving SIINFEKL‐loaded nanoparticles manifested significantly reduced liver damage compared with vehicle‐treated K14‐OVAp mice. Mechanistically, treatment with LSEC‐targeting SIINFEKL‐loaded nanoparticles significantly reduced the number of liver‐infiltrating OT‐1 T cells, which up‐regulated expression of the co‐inhibitory receptor PD‐1 and down‐regulated cytotoxic effector function and inflammatory cytokine production. These findings show that tolerogenic LSECs can effectively internalize circulating nanoparticles and cross‐present nanoparticle‐bound peptides on MHC I molecules. Therefore, nanoparticle‐mediated autoantigen peptide delivery to LSECs might serve the antigen‐specific treatment of CD8 T‐cell‐driven autoimmune disease.&lt;/p&gt;&quot;,&quot;issue&quot;:&quot;4&quot;,&quot;volume&quot;:&quot;162&quot;},&quot;isTemporary&quot;:false}]},{&quot;citationID&quot;:&quot;MENDELEY_CITATION_912b7245-72fc-474f-ac45-1cae64688c5e&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OTEyYjcyNDUtNzJmYy00NzRmLWFjNDUtMWNhZTY0Njg4YzVlIiwicHJvcGVydGllcyI6eyJub3RlSW5kZXgiOjB9LCJpc0VkaXRlZCI6ZmFsc2UsIm1hbnVhbE92ZXJyaWRlIjp7ImlzTWFudWFsbHlPdmVycmlkZGVuIjpmYWxzZSwiY2l0ZXByb2NUZXh0IjoiPHN1cD4yPC9zdXA+IiwibWFudWFsT3ZlcnJpZGVUZXh0IjoiIn0sImNpdGF0aW9uSXRlbXMiOlt7ImlkIjoiYTE5NDI0MGMtZDliZC0zYWFmLTk1ZjEtN2UwNjAzOWZlYzc4IiwiaXRlbURhdGEiOnsidHlwZSI6ImFydGljbGUtam91cm5hbCIsImlkIjoiYTE5NDI0MGMtZDliZC0zYWFmLTk1ZjEtN2UwNjAzOWZlYzc4IiwidGl0bGUiOiJTdHJ1Y3R1cmFsIGJhc2lzIGZvciBtYWpvciBoaXN0b2NvbXBhdGliaWxpdHkgY29tcGxleCAoTUhDKS1saW5rZWQgc3VzY2VwdGliaWxpdHkgdG8gYXV0b2ltbXVuaXR5OiBjaGFyZ2VkIHJlc2lkdWVzIG9mIGEgc2luZ2xlIE1IQyBiaW5kaW5nIHBvY2tldCBjb25mZXIgc2VsZWN0aXZlIHByZXNlbnRhdGlvbiBvZiBzZWxmLXBlcHRpZGVzIGluIHBlbXBoaWd1cyB2dWxnYXJpcy4iLCJhdXRob3IiOlt7ImZhbWlseSI6Ild1Y2hlcnBmZW5uaWciLCJnaXZlbiI6IksgVyIsInBhcnNlLW5hbWVzIjpmYWxzZSwiZHJvcHBpbmctcGFydGljbGUiOiIiLCJub24tZHJvcHBpbmctcGFydGljbGUiOiIifSx7ImZhbWlseSI6Ill1IiwiZ2l2ZW4iOiJCIiwicGFyc2UtbmFtZXMiOmZhbHNlLCJkcm9wcGluZy1wYXJ0aWNsZSI6IiIsIm5vbi1kcm9wcGluZy1wYXJ0aWNsZSI6IiJ9LHsiZmFtaWx5IjoiQmhvbCIsImdpdmVuIjoiSyIsInBhcnNlLW5hbWVzIjpmYWxzZSwiZHJvcHBpbmctcGFydGljbGUiOiIiLCJub24tZHJvcHBpbmctcGFydGljbGUiOiIifSx7ImZhbWlseSI6Ik1vbm9zIiwiZ2l2ZW4iOiJEIFMiLCJwYXJzZS1uYW1lcyI6ZmFsc2UsImRyb3BwaW5nLXBhcnRpY2xlIjoiIiwibm9uLWRyb3BwaW5nLXBhcnRpY2xlIjoiIn0seyJmYW1pbHkiOiJBcmd5cmlzIiwiZ2l2ZW4iOiJFIiwicGFyc2UtbmFtZXMiOmZhbHNlLCJkcm9wcGluZy1wYXJ0aWNsZSI6IiIsIm5vbi1kcm9wcGluZy1wYXJ0aWNsZSI6IiJ9LHsiZmFtaWx5IjoiS2FyciIsImdpdmVuIjoiUiBXIiwicGFyc2UtbmFtZXMiOmZhbHNlLCJkcm9wcGluZy1wYXJ0aWNsZSI6IiIsIm5vbi1kcm9wcGluZy1wYXJ0aWNsZSI6IiJ9LHsiZmFtaWx5IjoiQWhtZWQiLCJnaXZlbiI6IkEgUiIsInBhcnNlLW5hbWVzIjpmYWxzZSwiZHJvcHBpbmctcGFydGljbGUiOiIiLCJub24tZHJvcHBpbmctcGFydGljbGUiOiIifSx7ImZhbWlseSI6IlN0cm9taW5nZXIiLCJnaXZlbiI6IkogTCIsInBhcnNlLW5hbWVzIjpmYWxzZSwiZHJvcHBpbmctcGFydGljbGUiOiIiLCJub24tZHJvcHBpbmctcGFydGljbGUiOiIifV0sImNvbnRhaW5lci10aXRsZSI6IlByb2NlZWRpbmdzIG9mIHRoZSBOYXRpb25hbCBBY2FkZW15IG9mIFNjaWVuY2VzIG9mIHRoZSBVbml0ZWQgU3RhdGVzIG9mIEFtZXJpY2EiLCJjb250YWluZXItdGl0bGUtc2hvcnQiOiJQcm9jIE5hdGwgQWNhZCBTY2kgVSBTIEEiLCJET0kiOiIxMC4xMDczL3BuYXMuOTIuMjUuMTE5MzUiLCJJU1NOIjoiMDAyNy04NDI0IiwiUE1JRCI6Ijg1MjQ4NzgiLCJpc3N1ZWQiOnsiZGF0ZS1wYXJ0cyI6W1sxOTk1LDEyLDVdXX0sInBhZ2UiOiIxMTkzNS05IiwiYWJzdHJhY3QiOiJIdW1hbiBULWNlbGwtbWVkaWF0ZWQgYXV0b2ltbXVuZSBkaXNlYXNlcyBhcmUgZ2VuZXRpY2FsbHkgbGlua2VkIHRvIHBhcnRpY3VsYXIgYWxsZWxlcyBvZiBNSEMgY2xhc3MgSUkgZ2VuZXMuIFN1c2NlcHRpYmlsaXR5IHRvIHBlbXBoaWd1cyB2dWxnYXJpcyAoUFYpLCBhbiBhdXRvaW1tdW5lIGRpc2Vhc2Ugb2YgdGhlIHNraW4sIGlzIGxpbmtlZCB0byBhIHJhcmUgc3VidHlwZSBvZiBITEEtRFI0IChEUkIxKjA0MDIsIDEgb2YgMjIga25vd24gRFI0IHN1YnR5cGVzKS4gVGhlIFBWLWxpbmtlZCBEUjQgc3VidHlwZSBkaWZmZXJzIGZyb20gYSByaGV1bWF0b2lkIGFydGhyaXRpcy1hc3NvY2lhdGVkIERSNCBzdWJ0eXBlIChEUkIxKjA0MDQpIG9ubHkgYXQgdGhyZWUgcmVzaWR1ZXMgKERSIGJldGEgNjcsIDcwLCBhbmQgNzEpLiBUaGUgZGlzZWFzZSBpcyBjYXVzZWQgYnkgYXV0b2FudGlib2RpZXMgYWdhaW5zdCBkZXNtb2dsZWluIDMgKERHKSwgYW5kIFQgY2VsbHMgYXJlIHRob3VnaHQgdG8gdHJpZ2dlciB0aGUgYXV0b2FudGlib2R5IHByb2R1Y3Rpb24gYWdhaW5zdCB0aGlzIGtlcmF0aW5vY3l0ZSBhZGhlc2lvbiBtb2xlY3VsZS4gQmFzZWQgb24gdGhlIERSQjEqMDQwMiBiaW5kaW5nIG1vdGlmLCBzZXZlbiBjYW5kaWRhdGUgcGVwdGlkZXMgb2YgdGhlIERHIGF1dG9hbnRpZ2VuIHdlcmUgaWRlbnRpZmllZC4gVCBjZWxscyBmcm9tIGZvdXIgUFYgcGF0aWVudHMgd2l0aCBhY3RpdmUgZGlzZWFzZSByZXNwb25kZWQgdG8gb25lIG9mIHRoZXNlIERHIHBlcHRpZGVzIChyZXNpZHVlcyAxOTAtMjA0KTsgdHdvIHBhdGllbnRzIGFsc28gcmVzcG9uZGVkIHRvIERHLSgyMDYtMjIwKS4gVC1jZWxsIGNsb25lcyBzcGVjaWZpYyBmb3IgREctKDE5MC0yMDQpIHNlY3JldGVkIGhpZ2ggbGV2ZWxzIG9mIGludGVybGV1a2lucyA0IGFuZCAxMCwgaW5kaWNhdGluZyB0aGF0IHRoZXkgbWF5IGJlIGltcG9ydGFudCBpbiB0cmlnZ2VyaW5nIHRoZSBwcm9kdWN0aW9uIG9mIERHLXNwZWNpZmljIGF1dG9hbnRpYm9kaWVzLiBUaGUgREctKDE5MC0yMDQpIHBlcHRpZGUgd2FzIHByZXNlbnRlZCBieSB0aGUgZGlzZWFzZS1saW5rZWQgRFJCMSowNDAyIG1vbGVjdWxlIGJ1dCBub3QgYnkgb3RoZXIgRFI0IHN1YnR5cGVzLiBTaXRlLWRpcmVjdGVkIG11dGFnZW5lc2lzIG9mIERSQjEqMDQwMiBkZW1vbnN0cmF0ZWQgdGhhdCBzZWxlY3RpdmUgcHJlc2VudGF0aW9uIG9mIERHLSgxOTAtMjA0KSwgd2hpY2ggY2FycmllcyBhIHBvc2l0aXZlIGNoYXJnZSBhdCB0aGUgUDQgcG9zaXRpb24sIHdhcyBkdWUgdG8gdGhlIG5lZ2F0aXZlbHkgY2hhcmdlZCByZXNpZHVlcyBvZiB0aGUgUDQgcG9ja2V0IChEUiBiZXRhIDcwIGFuZCA3MSkuIERSIGJldGEgNzEgaGFzIGEgbmVnYXRpdmUgY2hhcmdlIGluIERSQjEqMDQwMiBidXQgYSBwb3NpdGl2ZSBjaGFyZ2UgaW4gb3RoZXIgRFI0IHN1YnR5cGVzLCBpbmNsdWRpbmcgdGhlIERSNCBzdWJ0eXBlcyBsaW5rZWQgdG8gcmhldW1hdG9pZCBhcnRocml0aXMuIFRoZSBjaGFyZ2Ugb2YgdGhlIFA0IHBvY2tldCBpbiB0aGUgRFI0IHBlcHRpZGUgYmluZGluZyBzaXRlIHRoZXJlZm9yZSBhcHBlYXJzIHRvIGJlIGEgY3JpdGljYWwgZGV0ZXJtaW5hbnQgb2YgTUhDLWxpbmtlZCBzdXNjZXB0aWJpbGl0eSB0byBQViBhbmQgcmhldW1hdG9pZCBhcnRocml0aXMuIiwiaXNzdWUiOiIyNSIsInZvbHVtZSI6IjkyIn0sImlzVGVtcG9yYXJ5IjpmYWxzZX1dfQ==&quot;,&quot;citationItems&quot;:[{&quot;id&quot;:&quot;a194240c-d9bd-3aaf-95f1-7e06039fec78&quot;,&quot;itemData&quot;:{&quot;type&quot;:&quot;article-journal&quot;,&quot;id&quot;:&quot;a194240c-d9bd-3aaf-95f1-7e06039fec78&quot;,&quot;title&quot;:&quot;Structural basis for major histocompatibility complex (MHC)-linked susceptibility to autoimmunity: charged residues of a single MHC binding pocket confer selective presentation of self-peptides in pemphigus vulgaris.&quot;,&quot;author&quot;:[{&quot;family&quot;:&quot;Wucherpfennig&quot;,&quot;given&quot;:&quot;K W&quot;,&quot;parse-names&quot;:false,&quot;dropping-particle&quot;:&quot;&quot;,&quot;non-dropping-particle&quot;:&quot;&quot;},{&quot;family&quot;:&quot;Yu&quot;,&quot;given&quot;:&quot;B&quot;,&quot;parse-names&quot;:false,&quot;dropping-particle&quot;:&quot;&quot;,&quot;non-dropping-particle&quot;:&quot;&quot;},{&quot;family&quot;:&quot;Bhol&quot;,&quot;given&quot;:&quot;K&quot;,&quot;parse-names&quot;:false,&quot;dropping-particle&quot;:&quot;&quot;,&quot;non-dropping-particle&quot;:&quot;&quot;},{&quot;family&quot;:&quot;Monos&quot;,&quot;given&quot;:&quot;D S&quot;,&quot;parse-names&quot;:false,&quot;dropping-particle&quot;:&quot;&quot;,&quot;non-dropping-particle&quot;:&quot;&quot;},{&quot;family&quot;:&quot;Argyris&quot;,&quot;given&quot;:&quot;E&quot;,&quot;parse-names&quot;:false,&quot;dropping-particle&quot;:&quot;&quot;,&quot;non-dropping-particle&quot;:&quot;&quot;},{&quot;family&quot;:&quot;Karr&quot;,&quot;given&quot;:&quot;R W&quot;,&quot;parse-names&quot;:false,&quot;dropping-particle&quot;:&quot;&quot;,&quot;non-dropping-particle&quot;:&quot;&quot;},{&quot;family&quot;:&quot;Ahmed&quot;,&quot;given&quot;:&quot;A R&quot;,&quot;parse-names&quot;:false,&quot;dropping-particle&quot;:&quot;&quot;,&quot;non-dropping-particle&quot;:&quot;&quot;},{&quot;family&quot;:&quot;Strominger&quot;,&quot;given&quot;:&quot;J L&quot;,&quot;parse-names&quot;:false,&quot;dropping-particle&quot;:&quot;&quot;,&quot;non-dropping-particle&quot;:&quot;&quot;}],&quot;container-title&quot;:&quot;Proceedings of the National Academy of Sciences of the United States of America&quot;,&quot;container-title-short&quot;:&quot;Proc Natl Acad Sci U S A&quot;,&quot;DOI&quot;:&quot;10.1073/pnas.92.25.11935&quot;,&quot;ISSN&quot;:&quot;0027-8424&quot;,&quot;PMID&quot;:&quot;8524878&quot;,&quot;issued&quot;:{&quot;date-parts&quot;:[[1995,12,5]]},&quot;page&quot;:&quot;11935-9&quot;,&quot;abstract&quot;:&quot;Human T-cell-mediated autoimmune diseases are genetically linked to particular alleles of MHC class II genes. Susceptibility to pemphigus vulgaris (PV), an autoimmune disease of the skin, is linked to a rare subtype of HLA-DR4 (DRB1*0402, 1 of 22 known DR4 subtypes). The PV-linked DR4 subtype differs from a rheumatoid arthritis-associated DR4 subtype (DRB1*0404) only at three residues (DR beta 67, 70, and 71). The disease is caused by autoantibodies against desmoglein 3 (DG), and T cells are thought to trigger the autoantibody production against this keratinocyte adhesion molecule. Based on the DRB1*0402 binding motif, seven candidate peptides of the DG autoantigen were identified. T cells from four PV patients with active disease responded to one of these DG peptides (residues 190-204); two patients also responded to DG-(206-220). T-cell clones specific for DG-(190-204) secreted high levels of interleukins 4 and 10, indicating that they may be important in triggering the production of DG-specific autoantibodies. The DG-(190-204) peptide was presented by the disease-linked DRB1*0402 molecule but not by other DR4 subtypes. Site-directed mutagenesis of DRB1*0402 demonstrated that selective presentation of DG-(190-204), which carries a positive charge at the P4 position, was due to the negatively charged residues of the P4 pocket (DR beta 70 and 71). DR beta 71 has a negative charge in DRB1*0402 but a positive charge in other DR4 subtypes, including the DR4 subtypes linked to rheumatoid arthritis. The charge of the P4 pocket in the DR4 peptide binding site therefore appears to be a critical determinant of MHC-linked susceptibility to PV and rheumatoid arthritis.&quot;,&quot;issue&quot;:&quot;25&quot;,&quot;volume&quot;:&quot;92&quot;},&quot;isTemporary&quot;:false}]},{&quot;citationID&quot;:&quot;MENDELEY_CITATION_a0d154c1-5c90-4b74-9c98-8d9ec70d52d9&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YTBkMTU0YzEtNWM5MC00Yjc0LTljOTgtOGQ5ZWM3MGQ1MmQ5IiwicHJvcGVydGllcyI6eyJub3RlSW5kZXgiOjB9LCJpc0VkaXRlZCI6ZmFsc2UsIm1hbnVhbE92ZXJyaWRlIjp7ImlzTWFudWFsbHlPdmVycmlkZGVuIjpmYWxzZSwiY2l0ZXByb2NUZXh0IjoiPHN1cD4yPC9zdXA+IiwibWFudWFsT3ZlcnJpZGVUZXh0IjoiIn0sImNpdGF0aW9uSXRlbXMiOlt7ImlkIjoiYTE5NDI0MGMtZDliZC0zYWFmLTk1ZjEtN2UwNjAzOWZlYzc4IiwiaXRlbURhdGEiOnsidHlwZSI6ImFydGljbGUtam91cm5hbCIsImlkIjoiYTE5NDI0MGMtZDliZC0zYWFmLTk1ZjEtN2UwNjAzOWZlYzc4IiwidGl0bGUiOiJTdHJ1Y3R1cmFsIGJhc2lzIGZvciBtYWpvciBoaXN0b2NvbXBhdGliaWxpdHkgY29tcGxleCAoTUhDKS1saW5rZWQgc3VzY2VwdGliaWxpdHkgdG8gYXV0b2ltbXVuaXR5OiBjaGFyZ2VkIHJlc2lkdWVzIG9mIGEgc2luZ2xlIE1IQyBiaW5kaW5nIHBvY2tldCBjb25mZXIgc2VsZWN0aXZlIHByZXNlbnRhdGlvbiBvZiBzZWxmLXBlcHRpZGVzIGluIHBlbXBoaWd1cyB2dWxnYXJpcy4iLCJhdXRob3IiOlt7ImZhbWlseSI6Ild1Y2hlcnBmZW5uaWciLCJnaXZlbiI6IksgVyIsInBhcnNlLW5hbWVzIjpmYWxzZSwiZHJvcHBpbmctcGFydGljbGUiOiIiLCJub24tZHJvcHBpbmctcGFydGljbGUiOiIifSx7ImZhbWlseSI6Ill1IiwiZ2l2ZW4iOiJCIiwicGFyc2UtbmFtZXMiOmZhbHNlLCJkcm9wcGluZy1wYXJ0aWNsZSI6IiIsIm5vbi1kcm9wcGluZy1wYXJ0aWNsZSI6IiJ9LHsiZmFtaWx5IjoiQmhvbCIsImdpdmVuIjoiSyIsInBhcnNlLW5hbWVzIjpmYWxzZSwiZHJvcHBpbmctcGFydGljbGUiOiIiLCJub24tZHJvcHBpbmctcGFydGljbGUiOiIifSx7ImZhbWlseSI6Ik1vbm9zIiwiZ2l2ZW4iOiJEIFMiLCJwYXJzZS1uYW1lcyI6ZmFsc2UsImRyb3BwaW5nLXBhcnRpY2xlIjoiIiwibm9uLWRyb3BwaW5nLXBhcnRpY2xlIjoiIn0seyJmYW1pbHkiOiJBcmd5cmlzIiwiZ2l2ZW4iOiJFIiwicGFyc2UtbmFtZXMiOmZhbHNlLCJkcm9wcGluZy1wYXJ0aWNsZSI6IiIsIm5vbi1kcm9wcGluZy1wYXJ0aWNsZSI6IiJ9LHsiZmFtaWx5IjoiS2FyciIsImdpdmVuIjoiUiBXIiwicGFyc2UtbmFtZXMiOmZhbHNlLCJkcm9wcGluZy1wYXJ0aWNsZSI6IiIsIm5vbi1kcm9wcGluZy1wYXJ0aWNsZSI6IiJ9LHsiZmFtaWx5IjoiQWhtZWQiLCJnaXZlbiI6IkEgUiIsInBhcnNlLW5hbWVzIjpmYWxzZSwiZHJvcHBpbmctcGFydGljbGUiOiIiLCJub24tZHJvcHBpbmctcGFydGljbGUiOiIifSx7ImZhbWlseSI6IlN0cm9taW5nZXIiLCJnaXZlbiI6IkogTCIsInBhcnNlLW5hbWVzIjpmYWxzZSwiZHJvcHBpbmctcGFydGljbGUiOiIiLCJub24tZHJvcHBpbmctcGFydGljbGUiOiIifV0sImNvbnRhaW5lci10aXRsZSI6IlByb2NlZWRpbmdzIG9mIHRoZSBOYXRpb25hbCBBY2FkZW15IG9mIFNjaWVuY2VzIG9mIHRoZSBVbml0ZWQgU3RhdGVzIG9mIEFtZXJpY2EiLCJjb250YWluZXItdGl0bGUtc2hvcnQiOiJQcm9jIE5hdGwgQWNhZCBTY2kgVSBTIEEiLCJET0kiOiIxMC4xMDczL3BuYXMuOTIuMjUuMTE5MzUiLCJJU1NOIjoiMDAyNy04NDI0IiwiUE1JRCI6Ijg1MjQ4NzgiLCJpc3N1ZWQiOnsiZGF0ZS1wYXJ0cyI6W1sxOTk1LDEyLDVdXX0sInBhZ2UiOiIxMTkzNS05IiwiYWJzdHJhY3QiOiJIdW1hbiBULWNlbGwtbWVkaWF0ZWQgYXV0b2ltbXVuZSBkaXNlYXNlcyBhcmUgZ2VuZXRpY2FsbHkgbGlua2VkIHRvIHBhcnRpY3VsYXIgYWxsZWxlcyBvZiBNSEMgY2xhc3MgSUkgZ2VuZXMuIFN1c2NlcHRpYmlsaXR5IHRvIHBlbXBoaWd1cyB2dWxnYXJpcyAoUFYpLCBhbiBhdXRvaW1tdW5lIGRpc2Vhc2Ugb2YgdGhlIHNraW4sIGlzIGxpbmtlZCB0byBhIHJhcmUgc3VidHlwZSBvZiBITEEtRFI0IChEUkIxKjA0MDIsIDEgb2YgMjIga25vd24gRFI0IHN1YnR5cGVzKS4gVGhlIFBWLWxpbmtlZCBEUjQgc3VidHlwZSBkaWZmZXJzIGZyb20gYSByaGV1bWF0b2lkIGFydGhyaXRpcy1hc3NvY2lhdGVkIERSNCBzdWJ0eXBlIChEUkIxKjA0MDQpIG9ubHkgYXQgdGhyZWUgcmVzaWR1ZXMgKERSIGJldGEgNjcsIDcwLCBhbmQgNzEpLiBUaGUgZGlzZWFzZSBpcyBjYXVzZWQgYnkgYXV0b2FudGlib2RpZXMgYWdhaW5zdCBkZXNtb2dsZWluIDMgKERHKSwgYW5kIFQgY2VsbHMgYXJlIHRob3VnaHQgdG8gdHJpZ2dlciB0aGUgYXV0b2FudGlib2R5IHByb2R1Y3Rpb24gYWdhaW5zdCB0aGlzIGtlcmF0aW5vY3l0ZSBhZGhlc2lvbiBtb2xlY3VsZS4gQmFzZWQgb24gdGhlIERSQjEqMDQwMiBiaW5kaW5nIG1vdGlmLCBzZXZlbiBjYW5kaWRhdGUgcGVwdGlkZXMgb2YgdGhlIERHIGF1dG9hbnRpZ2VuIHdlcmUgaWRlbnRpZmllZC4gVCBjZWxscyBmcm9tIGZvdXIgUFYgcGF0aWVudHMgd2l0aCBhY3RpdmUgZGlzZWFzZSByZXNwb25kZWQgdG8gb25lIG9mIHRoZXNlIERHIHBlcHRpZGVzIChyZXNpZHVlcyAxOTAtMjA0KTsgdHdvIHBhdGllbnRzIGFsc28gcmVzcG9uZGVkIHRvIERHLSgyMDYtMjIwKS4gVC1jZWxsIGNsb25lcyBzcGVjaWZpYyBmb3IgREctKDE5MC0yMDQpIHNlY3JldGVkIGhpZ2ggbGV2ZWxzIG9mIGludGVybGV1a2lucyA0IGFuZCAxMCwgaW5kaWNhdGluZyB0aGF0IHRoZXkgbWF5IGJlIGltcG9ydGFudCBpbiB0cmlnZ2VyaW5nIHRoZSBwcm9kdWN0aW9uIG9mIERHLXNwZWNpZmljIGF1dG9hbnRpYm9kaWVzLiBUaGUgREctKDE5MC0yMDQpIHBlcHRpZGUgd2FzIHByZXNlbnRlZCBieSB0aGUgZGlzZWFzZS1saW5rZWQgRFJCMSowNDAyIG1vbGVjdWxlIGJ1dCBub3QgYnkgb3RoZXIgRFI0IHN1YnR5cGVzLiBTaXRlLWRpcmVjdGVkIG11dGFnZW5lc2lzIG9mIERSQjEqMDQwMiBkZW1vbnN0cmF0ZWQgdGhhdCBzZWxlY3RpdmUgcHJlc2VudGF0aW9uIG9mIERHLSgxOTAtMjA0KSwgd2hpY2ggY2FycmllcyBhIHBvc2l0aXZlIGNoYXJnZSBhdCB0aGUgUDQgcG9zaXRpb24sIHdhcyBkdWUgdG8gdGhlIG5lZ2F0aXZlbHkgY2hhcmdlZCByZXNpZHVlcyBvZiB0aGUgUDQgcG9ja2V0IChEUiBiZXRhIDcwIGFuZCA3MSkuIERSIGJldGEgNzEgaGFzIGEgbmVnYXRpdmUgY2hhcmdlIGluIERSQjEqMDQwMiBidXQgYSBwb3NpdGl2ZSBjaGFyZ2UgaW4gb3RoZXIgRFI0IHN1YnR5cGVzLCBpbmNsdWRpbmcgdGhlIERSNCBzdWJ0eXBlcyBsaW5rZWQgdG8gcmhldW1hdG9pZCBhcnRocml0aXMuIFRoZSBjaGFyZ2Ugb2YgdGhlIFA0IHBvY2tldCBpbiB0aGUgRFI0IHBlcHRpZGUgYmluZGluZyBzaXRlIHRoZXJlZm9yZSBhcHBlYXJzIHRvIGJlIGEgY3JpdGljYWwgZGV0ZXJtaW5hbnQgb2YgTUhDLWxpbmtlZCBzdXNjZXB0aWJpbGl0eSB0byBQViBhbmQgcmhldW1hdG9pZCBhcnRocml0aXMuIiwiaXNzdWUiOiIyNSIsInZvbHVtZSI6IjkyIn0sImlzVGVtcG9yYXJ5IjpmYWxzZX1dfQ==&quot;,&quot;citationItems&quot;:[{&quot;id&quot;:&quot;a194240c-d9bd-3aaf-95f1-7e06039fec78&quot;,&quot;itemData&quot;:{&quot;type&quot;:&quot;article-journal&quot;,&quot;id&quot;:&quot;a194240c-d9bd-3aaf-95f1-7e06039fec78&quot;,&quot;title&quot;:&quot;Structural basis for major histocompatibility complex (MHC)-linked susceptibility to autoimmunity: charged residues of a single MHC binding pocket confer selective presentation of self-peptides in pemphigus vulgaris.&quot;,&quot;author&quot;:[{&quot;family&quot;:&quot;Wucherpfennig&quot;,&quot;given&quot;:&quot;K W&quot;,&quot;parse-names&quot;:false,&quot;dropping-particle&quot;:&quot;&quot;,&quot;non-dropping-particle&quot;:&quot;&quot;},{&quot;family&quot;:&quot;Yu&quot;,&quot;given&quot;:&quot;B&quot;,&quot;parse-names&quot;:false,&quot;dropping-particle&quot;:&quot;&quot;,&quot;non-dropping-particle&quot;:&quot;&quot;},{&quot;family&quot;:&quot;Bhol&quot;,&quot;given&quot;:&quot;K&quot;,&quot;parse-names&quot;:false,&quot;dropping-particle&quot;:&quot;&quot;,&quot;non-dropping-particle&quot;:&quot;&quot;},{&quot;family&quot;:&quot;Monos&quot;,&quot;given&quot;:&quot;D S&quot;,&quot;parse-names&quot;:false,&quot;dropping-particle&quot;:&quot;&quot;,&quot;non-dropping-particle&quot;:&quot;&quot;},{&quot;family&quot;:&quot;Argyris&quot;,&quot;given&quot;:&quot;E&quot;,&quot;parse-names&quot;:false,&quot;dropping-particle&quot;:&quot;&quot;,&quot;non-dropping-particle&quot;:&quot;&quot;},{&quot;family&quot;:&quot;Karr&quot;,&quot;given&quot;:&quot;R W&quot;,&quot;parse-names&quot;:false,&quot;dropping-particle&quot;:&quot;&quot;,&quot;non-dropping-particle&quot;:&quot;&quot;},{&quot;family&quot;:&quot;Ahmed&quot;,&quot;given&quot;:&quot;A R&quot;,&quot;parse-names&quot;:false,&quot;dropping-particle&quot;:&quot;&quot;,&quot;non-dropping-particle&quot;:&quot;&quot;},{&quot;family&quot;:&quot;Strominger&quot;,&quot;given&quot;:&quot;J L&quot;,&quot;parse-names&quot;:false,&quot;dropping-particle&quot;:&quot;&quot;,&quot;non-dropping-particle&quot;:&quot;&quot;}],&quot;container-title&quot;:&quot;Proceedings of the National Academy of Sciences of the United States of America&quot;,&quot;container-title-short&quot;:&quot;Proc Natl Acad Sci U S A&quot;,&quot;DOI&quot;:&quot;10.1073/pnas.92.25.11935&quot;,&quot;ISSN&quot;:&quot;0027-8424&quot;,&quot;PMID&quot;:&quot;8524878&quot;,&quot;issued&quot;:{&quot;date-parts&quot;:[[1995,12,5]]},&quot;page&quot;:&quot;11935-9&quot;,&quot;abstract&quot;:&quot;Human T-cell-mediated autoimmune diseases are genetically linked to particular alleles of MHC class II genes. Susceptibility to pemphigus vulgaris (PV), an autoimmune disease of the skin, is linked to a rare subtype of HLA-DR4 (DRB1*0402, 1 of 22 known DR4 subtypes). The PV-linked DR4 subtype differs from a rheumatoid arthritis-associated DR4 subtype (DRB1*0404) only at three residues (DR beta 67, 70, and 71). The disease is caused by autoantibodies against desmoglein 3 (DG), and T cells are thought to trigger the autoantibody production against this keratinocyte adhesion molecule. Based on the DRB1*0402 binding motif, seven candidate peptides of the DG autoantigen were identified. T cells from four PV patients with active disease responded to one of these DG peptides (residues 190-204); two patients also responded to DG-(206-220). T-cell clones specific for DG-(190-204) secreted high levels of interleukins 4 and 10, indicating that they may be important in triggering the production of DG-specific autoantibodies. The DG-(190-204) peptide was presented by the disease-linked DRB1*0402 molecule but not by other DR4 subtypes. Site-directed mutagenesis of DRB1*0402 demonstrated that selective presentation of DG-(190-204), which carries a positive charge at the P4 position, was due to the negatively charged residues of the P4 pocket (DR beta 70 and 71). DR beta 71 has a negative charge in DRB1*0402 but a positive charge in other DR4 subtypes, including the DR4 subtypes linked to rheumatoid arthritis. The charge of the P4 pocket in the DR4 peptide binding site therefore appears to be a critical determinant of MHC-linked susceptibility to PV and rheumatoid arthritis.&quot;,&quot;issue&quot;:&quot;25&quot;,&quot;volume&quot;:&quot;92&quot;},&quot;isTemporary&quot;:false}]},{&quot;citationID&quot;:&quot;MENDELEY_CITATION_f2b90670-8f97-4882-afcf-57453162d8f7&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ZjJiOTA2NzAtOGY5Ny00ODgyLWFmY2YtNTc0NTMxNjJkOGY3IiwicHJvcGVydGllcyI6eyJub3RlSW5kZXgiOjB9LCJpc0VkaXRlZCI6ZmFsc2UsIm1hbnVhbE92ZXJyaWRlIjp7ImlzTWFudWFsbHlPdmVycmlkZGVuIjpmYWxzZSwiY2l0ZXByb2NUZXh0IjoiPHN1cD4zPC9zdXA+IiwibWFudWFsT3ZlcnJpZGVUZXh0IjoiIn0sImNpdGF0aW9uSXRlbXMiOlt7ImlkIjoiZDFiNDk5NmUtZTU3YS0zNTRlLTgzZWQtOWY2ZWVlMTgzZmY0IiwiaXRlbURhdGEiOnsidHlwZSI6ImFydGljbGUtam91cm5hbCIsImlkIjoiZDFiNDk5NmUtZTU3YS0zNTRlLTgzZWQtOWY2ZWVlMTgzZmY0IiwidGl0bGUiOiJUIENlbGwgUmVjb2duaXRpb24gb2YgRGVzbW9nbGVpbiAzIFBlcHRpZGVzIGluIFBhdGllbnRzIHdpdGggUGVtcGhpZ3VzIFZ1bGdhcmlzIGFuZCBIZWFsdGh5IEluZGl2aWR1YWxzIiwiYXV0aG9yIjpbeyJmYW1pbHkiOiJWZWxkbWFuIiwiZ2l2ZW4iOiJDaHJpc3RpYW4gTS4iLCJwYXJzZS1uYW1lcyI6ZmFsc2UsImRyb3BwaW5nLXBhcnRpY2xlIjoiIiwibm9uLWRyb3BwaW5nLXBhcnRpY2xlIjoiIn0seyJmYW1pbHkiOiJHZWJoYXJkIiwiZ2l2ZW4iOiJLZXJzdGluIEwuIiwicGFyc2UtbmFtZXMiOmZhbHNlLCJkcm9wcGluZy1wYXJ0aWNsZSI6IiIsIm5vbi1kcm9wcGluZy1wYXJ0aWNsZSI6IiJ9LHsiZmFtaWx5IjoiVXRlciIsImdpdmVuIjoiV29sZmdhbmciLCJwYXJzZS1uYW1lcyI6ZmFsc2UsImRyb3BwaW5nLXBhcnRpY2xlIjoiIiwibm9uLWRyb3BwaW5nLXBhcnRpY2xlIjoiIn0seyJmYW1pbHkiOiJXYXNzbXV0aCIsImdpdmVuIjoiUmFsZiIsInBhcnNlLW5hbWVzIjpmYWxzZSwiZHJvcHBpbmctcGFydGljbGUiOiIiLCJub24tZHJvcHBpbmctcGFydGljbGUiOiIifSx7ImZhbWlseSI6Ikdyb8yIdHppbmdlciIsImdpdmVuIjoiSm9hY2hpbSIsInBhcnNlLW5hbWVzIjpmYWxzZSwiZHJvcHBpbmctcGFydGljbGUiOiIiLCJub24tZHJvcHBpbmctcGFydGljbGUiOiIifSx7ImZhbWlseSI6IlNjaHVsdHoiLCJnaXZlbiI6IkVyd2luIiwicGFyc2UtbmFtZXMiOmZhbHNlLCJkcm9wcGluZy1wYXJ0aWNsZSI6IiIsIm5vbi1kcm9wcGluZy1wYXJ0aWNsZSI6IiJ9LHsiZmFtaWx5IjoiSGVydGwiLCJnaXZlbiI6Ik1pY2hhZWwiLCJwYXJzZS1uYW1lcyI6ZmFsc2UsImRyb3BwaW5nLXBhcnRpY2xlIjoiIiwibm9uLWRyb3BwaW5nLXBhcnRpY2xlIjoiIn1dLCJjb250YWluZXItdGl0bGUiOiJUaGUgSm91cm5hbCBvZiBJbW11bm9sb2d5IiwiRE9JIjoiMTAuNDA0OS9qaW1tdW5vbC4xNzIuNi4zODgzIiwiSVNTTiI6IjAwMjItMTc2NyIsImlzc3VlZCI6eyJkYXRlLXBhcnRzIjpbWzIwMDQsMywxNV1dfSwicGFnZSI6IjM4ODMtMzg5MiIsImFic3RyYWN0IjoiPHA+UGVtcGhpZ3VzIHZ1bGdhcmlzIGlzIGEgc2V2ZXJlIGF1dG9pbW11bmUgZGlzZWFzZSBjYXVzZWQgYnkgYXV0b2FudGlib2RpZXMgYWdhaW5zdCB0aGUgY3V0YW5lb3VzIGFkaGVzaW9uIG1vbGVjdWxlLCBkZXNtb2dsZWluIDMgKERzZzMpLiBUaGUgYWltIG9mIHRoaXMgc3R1ZHkgd2FzIHRvIGNoYXJhY3Rlcml6ZSB0aGUgc3BlY2lmaWNpdHkgb2YgYXV0b3JlYWN0aXZlIFRoIGNlbGxzLCB3aGljaCBwcmVzdW1hYmx5IHJlZ3VsYXRlIERzZzMtc3BlY2lmaWMgYXV0b2FudGlib2R5IHByb2R1Y3Rpb24uIE5pbmV0eS1zZXZlbiBUaDEgYW5kIFRoMiBjbG9uZXMgaXNvbGF0ZWQgZnJvbSAxNiBwZW1waGlndXMgcGF0aWVudHMgYW5kIDEyIEhMQS1tYXRjaGVkIGhlYWx0aHkgZG9ub3JzIHJlY29nbml6ZWQgdGhlIERzZzMgcGVwdGlkZXMsIERHMyg3OC05NCksIERHMyg5Ni0xMTIpLCBERzMoMTg5LTIwNSksIERHMygyMDUtMjIxKSwgYW5kIERHMygyNTAtMjY2KS4gUGVwdGlkZSBERzMoOTYtMTEyKSwgYW5kIHRvIGEgbGVzc2VyIGV4dGVudCBERzMoMjUwLTI2NiksIHdhcyByZWNvZ25pemVkIGJ5IHRoZSBtYWpvcml0eSBvZiBUIGNlbGxzIGZyb20gcGF0aWVudHMgYW5kIGhlYWx0aHkgZG9ub3JzIGluIGFzc29jaWF0aW9uIHdpdGggSExBLURSQjEqMDQwMiBhbmQgRFFCMSowNTAzIHdoaWNoIHdlcmUgcHJldmFsZW50IGluIHRoZSBwZW1waGlndXMgcGF0aWVudHMgYW5kIERzZzMtcmVzcG9uc2l2ZSBoZWFsdGh5IGRvbm9ycy4gQW5hbHl6aW5nIHRoZSBWzrItY2hhaW4gb2YgdGhlIFRDUiBvZiB0aGUgREczKDk2LTExMiktc3BlY2lmaWMgVCBjZWxscyBzaG93ZWQgbm8gcmVzdHJpY3RlZCBUQ1IgdXNhZ2UuIFBlcHRpZGVzIERHMygzNDItMzU4KSBhbmQgREczKDM3Ni0zOTIpIHdlcmUgZXhjbHVzaXZlbHkgcmVjb2duaXplZCBieSBUIGNlbGwgY2xvbmVzIChuID0gMTMpIGZyb20gcGF0aWVudHMgd2hpbGUgREczKDQ4My00OTkpIHdhcyBvbmx5IHJlY29nbml6ZWQgYnkgVCBjZWxsIGNsb25lcyAobiA9IDMpIGZyb20gYSBoZWFsdGh5IGRvbm9yLiBBbGwgRHNnMyBwZXB0aWRlcyBjb250YWluZWQgY29uc2VydmVkIGFtaW5vIGFjaWRzIGF0IHJlbGF0aXZlIHBvc2l0aW9ucyAxLCA0LCBhbmQgNjsgYW1pbm8gYWNpZHMgd2l0aCBhIHBvc2l0aXZlIGNoYXJnZSBhdCBwb3NpdGlvbiA0IHByZXN1bWFibHkgcmVwcmVzZW50IGFuY2hvciBtb3RpZnMgZm9yIERSQjEqMDQwMi4gVGhlc2UgZmluZGluZ3MgZGVtb25zdHJhdGUgdGhhdCBUIGNlbGwgcmVjb2duaXRpb24gb2YgZGlzdGluY3QgRHNnMyBwZXB0aWRlcyBpcyByZXN0cmljdGVkIGJ5IGRpc3RpbmN0IEhMQSBjbGFzcyBJSSBtb2xlY3VsZXMgYW5kIGlzIGluZGVwZW5kZW50IGZyb20gdGhlIGRldmVsb3BtZW50IG9mIHBlbXBoaWd1cyB2dWxnYXJpcy48L3A+IiwiaXNzdWUiOiI2Iiwidm9sdW1lIjoiMTcyIiwiY29udGFpbmVyLXRpdGxlLXNob3J0IjoiIn0sImlzVGVtcG9yYXJ5IjpmYWxzZX1dfQ==&quot;,&quot;citationItems&quot;:[{&quot;id&quot;:&quot;d1b4996e-e57a-354e-83ed-9f6eee183ff4&quot;,&quot;itemData&quot;:{&quot;type&quot;:&quot;article-journal&quot;,&quot;id&quot;:&quot;d1b4996e-e57a-354e-83ed-9f6eee183ff4&quot;,&quot;title&quot;:&quot;T Cell Recognition of Desmoglein 3 Peptides in Patients with Pemphigus Vulgaris and Healthy Individuals&quot;,&quot;author&quot;:[{&quot;family&quot;:&quot;Veldman&quot;,&quot;given&quot;:&quot;Christian M.&quot;,&quot;parse-names&quot;:false,&quot;dropping-particle&quot;:&quot;&quot;,&quot;non-dropping-particle&quot;:&quot;&quot;},{&quot;family&quot;:&quot;Gebhard&quot;,&quot;given&quot;:&quot;Kerstin L.&quot;,&quot;parse-names&quot;:false,&quot;dropping-particle&quot;:&quot;&quot;,&quot;non-dropping-particle&quot;:&quot;&quot;},{&quot;family&quot;:&quot;Uter&quot;,&quot;given&quot;:&quot;Wolfgang&quot;,&quot;parse-names&quot;:false,&quot;dropping-particle&quot;:&quot;&quot;,&quot;non-dropping-particle&quot;:&quot;&quot;},{&quot;family&quot;:&quot;Wassmuth&quot;,&quot;given&quot;:&quot;Ralf&quot;,&quot;parse-names&quot;:false,&quot;dropping-particle&quot;:&quot;&quot;,&quot;non-dropping-particle&quot;:&quot;&quot;},{&quot;family&quot;:&quot;Grötzinger&quot;,&quot;given&quot;:&quot;Joachim&quot;,&quot;parse-names&quot;:false,&quot;dropping-particle&quot;:&quot;&quot;,&quot;non-dropping-particle&quot;:&quot;&quot;},{&quot;family&quot;:&quot;Schultz&quot;,&quot;given&quot;:&quot;Erwin&quot;,&quot;parse-names&quot;:false,&quot;dropping-particle&quot;:&quot;&quot;,&quot;non-dropping-particle&quot;:&quot;&quot;},{&quot;family&quot;:&quot;Hertl&quot;,&quot;given&quot;:&quot;Michael&quot;,&quot;parse-names&quot;:false,&quot;dropping-particle&quot;:&quot;&quot;,&quot;non-dropping-particle&quot;:&quot;&quot;}],&quot;container-title&quot;:&quot;The Journal of Immunology&quot;,&quot;DOI&quot;:&quot;10.4049/jimmunol.172.6.3883&quot;,&quot;ISSN&quot;:&quot;0022-1767&quot;,&quot;issued&quot;:{&quot;date-parts&quot;:[[2004,3,15]]},&quot;page&quot;:&quot;3883-3892&quot;,&quot;abstract&quot;:&quot;&lt;p&gt;Pemphigus vulgaris is a severe autoimmune disease caused by autoantibodies against the cutaneous adhesion molecule, desmoglein 3 (Dsg3). The aim of this study was to characterize the specificity of autoreactive Th cells, which presumably regulate Dsg3-specific autoantibody production. Ninety-seven Th1 and Th2 clones isolated from 16 pemphigus patients and 12 HLA-matched healthy donors recognized the Dsg3 peptides, DG3(78-94), DG3(96-112), DG3(189-205), DG3(205-221), and DG3(250-266). Peptide DG3(96-112), and to a lesser extent DG3(250-266), was recognized by the majority of T cells from patients and healthy donors in association with HLA-DRB1*0402 and DQB1*0503 which were prevalent in the pemphigus patients and Dsg3-responsive healthy donors. Analyzing the Vβ-chain of the TCR of the DG3(96-112)-specific T cells showed no restricted TCR usage. Peptides DG3(342-358) and DG3(376-392) were exclusively recognized by T cell clones (n = 13) from patients while DG3(483-499) was only recognized by T cell clones (n = 3) from a healthy donor. All Dsg3 peptides contained conserved amino acids at relative positions 1, 4, and 6; amino acids with a positive charge at position 4 presumably represent anchor motifs for DRB1*0402. These findings demonstrate that T cell recognition of distinct Dsg3 peptides is restricted by distinct HLA class II molecules and is independent from the development of pemphigus vulgaris.&lt;/p&gt;&quot;,&quot;issue&quot;:&quot;6&quot;,&quot;volume&quot;:&quot;172&quot;,&quot;container-title-short&quot;:&quot;&quot;},&quot;isTemporary&quot;:false}]},{&quot;citationID&quot;:&quot;MENDELEY_CITATION_c7c28e15-34b2-4bea-bf70-ed2ee30fa748&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YzdjMjhlMTUtMzRiMi00YmVhLWJmNzAtZWQyZWUzMGZhNzQ4IiwicHJvcGVydGllcyI6eyJub3RlSW5kZXgiOjB9LCJpc0VkaXRlZCI6ZmFsc2UsIm1hbnVhbE92ZXJyaWRlIjp7ImlzTWFudWFsbHlPdmVycmlkZGVuIjpmYWxzZSwiY2l0ZXByb2NUZXh0IjoiPHN1cD40PC9zdXA+IiwibWFudWFsT3ZlcnJpZGVUZXh0IjoiIn0sImNpdGF0aW9uSXRlbXMiOlt7ImlkIjoiYTVmMWI5MTUtYTJjZS0zZjU1LWJlMzEtMzU3Zjk5ODE0Zjk2IiwiaXRlbURhdGEiOnsidHlwZSI6ImFydGljbGUtam91cm5hbCIsImlkIjoiYTVmMWI5MTUtYTJjZS0zZjU1LWJlMzEtMzU3Zjk5ODE0Zjk2IiwidGl0bGUiOiJJZ0cgcmVhY3Rpdml0eSBhZ2FpbnN0IG5vbuKAkGNvbmZvcm1hdGlvbmFsIE5IIDxzdWI+Mjwvc3ViPiDigJB0ZXJtaW5hbCBlcGl0b3BlcyBvZiB0aGUgZGVzbW9nbGVpbiAzIGVjdG9kb21haW4gcmVsYXRlcyB0byBjbGluaWNhbCBhY3Rpdml0eSBhbmQgcGhlbm90eXBlIG9mIHBlbXBoaWd1cyB2dWxnYXJpcyIsImF1dGhvciI6W3siZmFtaWx5IjoiTcO8bGxlciIsImdpdmVuIjoiUmFsZiIsInBhcnNlLW5hbWVzIjpmYWxzZSwiZHJvcHBpbmctcGFydGljbGUiOiIiLCJub24tZHJvcHBpbmctcGFydGljbGUiOiIifSx7ImZhbWlseSI6IlN2b2JvZGEiLCJnaXZlbiI6IlZlcmEiLCJwYXJzZS1uYW1lcyI6ZmFsc2UsImRyb3BwaW5nLXBhcnRpY2xlIjoiIiwibm9uLWRyb3BwaW5nLXBhcnRpY2xlIjoiIn0seyJmYW1pbHkiOiJXZW56ZWwiLCJnaXZlbiI6IkVsa2UiLCJwYXJzZS1uYW1lcyI6ZmFsc2UsImRyb3BwaW5nLXBhcnRpY2xlIjoiIiwibm9uLWRyb3BwaW5nLXBhcnRpY2xlIjoiIn0seyJmYW1pbHkiOiJHZWJlcnQiLCJnaXZlbiI6IlN1c2FubmUiLCJwYXJzZS1uYW1lcyI6ZmFsc2UsImRyb3BwaW5nLXBhcnRpY2xlIjoiIiwibm9uLWRyb3BwaW5nLXBhcnRpY2xlIjoiIn0seyJmYW1pbHkiOiJIdW56ZWxtYW5uIiwiZ2l2ZW4iOiJOaWNvbGFzIiwicGFyc2UtbmFtZXMiOmZhbHNlLCJkcm9wcGluZy1wYXJ0aWNsZSI6IiIsIm5vbi1kcm9wcGluZy1wYXJ0aWNsZSI6IiJ9LHsiZmFtaWx5IjoiTcO8bGxlciIsImdpdmVuIjoiSGFuc+KAkEhlbGdlIiwicGFyc2UtbmFtZXMiOmZhbHNlLCJkcm9wcGluZy1wYXJ0aWNsZSI6IiIsIm5vbi1kcm9wcGluZy1wYXJ0aWNsZSI6IiJ9LHsiZmFtaWx5IjoiSGVydGwiLCJnaXZlbiI6Ik1pY2hhZWwiLCJwYXJzZS1uYW1lcyI6ZmFsc2UsImRyb3BwaW5nLXBhcnRpY2xlIjoiIiwibm9uLWRyb3BwaW5nLXBhcnRpY2xlIjoiIn1dLCJjb250YWluZXItdGl0bGUiOiJFeHBlcmltZW50YWwgRGVybWF0b2xvZ3kiLCJjb250YWluZXItdGl0bGUtc2hvcnQiOiJFeHAgRGVybWF0b2wiLCJET0kiOiIxMC4xMTExL2ouMTYwMC0wNjI1LjIwMDYuMDA0NTEueCIsIklTU04iOiIwOTA2LTY3MDUiLCJpc3N1ZWQiOnsiZGF0ZS1wYXJ0cyI6W1syMDA2LDgsMzBdXX0sInBhZ2UiOiI2MDYtNjE0IiwiYWJzdHJhY3QiOiI8cD4gPGJvbGQ+QWJzdHJhY3Q64oCCPC9ib2xkPiBQZW1waGlndXMgdnVsZ2FyaXMgKFBWKSBpcyBhbiBhdXRvaW1tdW5lIGRpc2Vhc2UgY2F1c2VkIGJ5IGltbXVub2dsb2J1bGluIEcgKElnRykgYXV0b2FudGlib2RpZXMgYWdhaW5zdCB0aGUgZGVzbW9zb21hbCBhZGhlc2lvbiBtb2xlY3VsZXMsIGRlc21vZ2xlaW4gKERzZykzIGFuZCBEc2cxLiBUaGUgYWltIG9mIHRoZSBzdHVkeSB3YXMgdG8gcmVsYXRlIElnRyByZWFjdGl2aXR5IG9mIDEyMyBQViBzZXJhIGFuZCA0MCBjb250cm9sIHNlcmEgYWdhaW5zdCBOSCA8c3ViPjI8L3N1Yj4g4oCQdGVybWluYWwgbm9u4oCQY29uZm9ybWF0aW9uYWwgZXBpdG9wZXMgb2YgRHNnMyBhbmQgRHNnMSB3aXRoIGRpc2Vhc2UgYWN0aXZpdHkgYW5kIGNsaW5pY2FsIHBoZW5vdHlwZSBieSBlbnp5bWXigJBsaW5rZWQgaW1tdW5vc29yYmVudCBhc3NheS4gVGhlIHJlc3VsdHMgc2hvdyB0aGF0IChpKSB0aGUgb3ZlcmFsbCByZWFjdGl2aXR5IGFuZCB0aGUgdGl0cmVzIG9mIElnRyByZWFjdGl2ZSB3aXRoIHRoZSBEc2czIGVjdG9kb21haW4sIERzZzMoMeKAkzU2NiksIHNpZ25pZmljYW50bHkgY29ycmVsYXRlZCB3aXRoIHRoZSBkaXNlYXNlIGFjdGl2aXR5IG9mIHRoZSBQViBwYXRpZW50czsgKGlpKSBJZ0cgcmVhY3Rpdml0eSBhZ2FpbnN0IHRoZSBOSCA8c3ViPjI8L3N1Yj4g4oCQdGVybWludXMgb2YgRHNnMywgRHNnMygx4oCTMTYxKSwgd2FzIGFzc29jaWF0ZWQgd2l0aCBhY3RpdmUgUFYgd2hpbGUgdGhlcmUgd2FzIG5vIGRpcmVjdCBjb3JyZWxhdGlvbiBiZXR3ZWVuIHRoZSBJZ0cgdGl0cmVzIGFuZCB0aGUgZGlzZWFzZSBhY3Rpdml0eTsgKGlpaSkgSWdHIHJlYWN0aXZpdHkgYWdhaW5zdCB0aGUgTkggPHN1Yj4yPC9zdWI+IOKAkHRlcm1pbnVzIG9mIERzZzMsIERzZzMoMeKAkzE2MSksIHdhcyBhc3NvY2lhdGVkIHdpdGggbXVjb3NhbCBhbmQgbXVjb2N1dGFuZW91cyBQVjsgKGl2KSBJZ0cgdGl0cmVzIGFnYWluc3QgYSBzbWFsbCBzdHJldGNoIG9mIHRoZSBOSCA8c3ViPjI8L3N1Yj4g4oCQdGVybWludXMgb2YgRHNnMywgRHNnMygyNeKAkzg4KSwgd2VyZSBhc3NvY2lhdGVkIHdpdGggYWN0aXZlIFBWOyBhbmQgKHYpIElnRyBpbiB0aGUgUFYgc2VyYSBkZXRlY3RlZCBub27igJBjb25mb3JtYXRpb25hbCBlcGl0b3BlcyBpbiBhZGRpdGlvbiB0byB0aGUgcHJldmlvdXNseSBpZGVudGlmaWVkIGNvbmZvcm1hdGlvbuKAkGRlcGVuZGVudCBlcGl0b3BlcyBvZiB0aGUgRHNnMyBhbmQgRHNnMSBlY3RvZG9tYWlucy4gPC9wPiIsImlzc3VlIjoiOCIsInZvbHVtZSI6IjE1In0sImlzVGVtcG9yYXJ5IjpmYWxzZX1dfQ==&quot;,&quot;citationItems&quot;:[{&quot;id&quot;:&quot;a5f1b915-a2ce-3f55-be31-357f99814f96&quot;,&quot;itemData&quot;:{&quot;type&quot;:&quot;article-journal&quot;,&quot;id&quot;:&quot;a5f1b915-a2ce-3f55-be31-357f99814f96&quot;,&quot;title&quot;:&quot;IgG reactivity against non‐conformational NH &lt;sub&gt;2&lt;/sub&gt; ‐terminal epitopes of the desmoglein 3 ectodomain relates to clinical activity and phenotype of pemphigus vulgaris&quot;,&quot;author&quot;:[{&quot;family&quot;:&quot;Müller&quot;,&quot;given&quot;:&quot;Ralf&quot;,&quot;parse-names&quot;:false,&quot;dropping-particle&quot;:&quot;&quot;,&quot;non-dropping-particle&quot;:&quot;&quot;},{&quot;family&quot;:&quot;Svoboda&quot;,&quot;given&quot;:&quot;Vera&quot;,&quot;parse-names&quot;:false,&quot;dropping-particle&quot;:&quot;&quot;,&quot;non-dropping-particle&quot;:&quot;&quot;},{&quot;family&quot;:&quot;Wenzel&quot;,&quot;given&quot;:&quot;Elke&quot;,&quot;parse-names&quot;:false,&quot;dropping-particle&quot;:&quot;&quot;,&quot;non-dropping-particle&quot;:&quot;&quot;},{&quot;family&quot;:&quot;Gebert&quot;,&quot;given&quot;:&quot;Susanne&quot;,&quot;parse-names&quot;:false,&quot;dropping-particle&quot;:&quot;&quot;,&quot;non-dropping-particle&quot;:&quot;&quot;},{&quot;family&quot;:&quot;Hunzelmann&quot;,&quot;given&quot;:&quot;Nicolas&quot;,&quot;parse-names&quot;:false,&quot;dropping-particle&quot;:&quot;&quot;,&quot;non-dropping-particle&quot;:&quot;&quot;},{&quot;family&quot;:&quot;Müller&quot;,&quot;given&quot;:&quot;Hans‐Helge&quot;,&quot;parse-names&quot;:false,&quot;dropping-particle&quot;:&quot;&quot;,&quot;non-dropping-particle&quot;:&quot;&quot;},{&quot;family&quot;:&quot;Hertl&quot;,&quot;given&quot;:&quot;Michael&quot;,&quot;parse-names&quot;:false,&quot;dropping-particle&quot;:&quot;&quot;,&quot;non-dropping-particle&quot;:&quot;&quot;}],&quot;container-title&quot;:&quot;Experimental Dermatology&quot;,&quot;container-title-short&quot;:&quot;Exp Dermatol&quot;,&quot;DOI&quot;:&quot;10.1111/j.1600-0625.2006.00451.x&quot;,&quot;ISSN&quot;:&quot;0906-6705&quot;,&quot;issued&quot;:{&quot;date-parts&quot;:[[2006,8,30]]},&quot;page&quot;:&quot;606-614&quot;,&quot;abstract&quot;:&quot;&lt;p&gt; &lt;bold&gt;Abstract: &lt;/bold&gt; Pemphigus vulgaris (PV) is an autoimmune disease caused by immunoglobulin G (IgG) autoantibodies against the desmosomal adhesion molecules, desmoglein (Dsg)3 and Dsg1. The aim of the study was to relate IgG reactivity of 123 PV sera and 40 control sera against NH &lt;sub&gt;2&lt;/sub&gt; ‐terminal non‐conformational epitopes of Dsg3 and Dsg1 with disease activity and clinical phenotype by enzyme‐linked immunosorbent assay. The results show that (i) the overall reactivity and the titres of IgG reactive with the Dsg3 ectodomain, Dsg3(1–566), significantly correlated with the disease activity of the PV patients; (ii) IgG reactivity against the NH &lt;sub&gt;2&lt;/sub&gt; ‐terminus of Dsg3, Dsg3(1–161), was associated with active PV while there was no direct correlation between the IgG titres and the disease activity; (iii) IgG reactivity against the NH &lt;sub&gt;2&lt;/sub&gt; ‐terminus of Dsg3, Dsg3(1–161), was associated with mucosal and mucocutaneous PV; (iv) IgG titres against a small stretch of the NH &lt;sub&gt;2&lt;/sub&gt; ‐terminus of Dsg3, Dsg3(25–88), were associated with active PV; and (v) IgG in the PV sera detected non‐conformational epitopes in addition to the previously identified conformation‐dependent epitopes of the Dsg3 and Dsg1 ectodomains. &lt;/p&gt;&quot;,&quot;issue&quot;:&quot;8&quot;,&quot;volume&quot;:&quot;15&quot;},&quot;isTemporary&quot;:false}]},{&quot;citationID&quot;:&quot;MENDELEY_CITATION_fbaacc14-e1eb-4bf4-841b-ee8454d9fcd9&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ZmJhYWNjMTQtZTFlYi00YmY0LTg0MWItZWU4NDU0ZDlmY2Q5IiwicHJvcGVydGllcyI6eyJub3RlSW5kZXgiOjB9LCJpc0VkaXRlZCI6ZmFsc2UsIm1hbnVhbE92ZXJyaWRlIjp7ImlzTWFudWFsbHlPdmVycmlkZGVuIjpmYWxzZSwiY2l0ZXByb2NUZXh0IjoiPHN1cD41PC9zdXA+IiwibWFudWFsT3ZlcnJpZGVUZXh0IjoiIn0sImNpdGF0aW9uSXRlbXMiOlt7ImlkIjoiZjI3OWIxMGMtNTZlNi0zMWI1LTljYjMtYjc5ODFhODI1YzY3IiwiaXRlbURhdGEiOnsidHlwZSI6ImFydGljbGUtam91cm5hbCIsImlkIjoiZjI3OWIxMGMtNTZlNi0zMWI1LTljYjMtYjc5ODFhODI1YzY3IiwidGl0bGUiOiJOb3ZlbCBFTElTQSBzeXN0ZW1zIGZvciBhbnRpYm9kaWVzIHRvIGRlc21vZ2xlaW4gMSBhbmQgMzogY29ycmVsYXRpb24gb2YgZGlzZWFzZSBhY3Rpdml0eSB3aXRoIHNlcnVtIGF1dG9hbnRpYm9keSBsZXZlbHMgaW4gaW5kaXZpZHVhbCBwZW1waGlndXMgcGF0aWVudHMiLCJhdXRob3IiOlt7ImZhbWlseSI6IlNjaG1pZHQiLCJnaXZlbiI6IkVubm8iLCJwYXJzZS1uYW1lcyI6ZmFsc2UsImRyb3BwaW5nLXBhcnRpY2xlIjoiIiwibm9uLWRyb3BwaW5nLXBhcnRpY2xlIjoiIn0seyJmYW1pbHkiOiJEw6RobnJpY2giLCJnaXZlbiI6IkNvcm5lbGlhIiwicGFyc2UtbmFtZXMiOmZhbHNlLCJkcm9wcGluZy1wYXJ0aWNsZSI6IiIsIm5vbi1kcm9wcGluZy1wYXJ0aWNsZSI6IiJ9LHsiZmFtaWx5IjoiUm9zZW1hbm4iLCJnaXZlbiI6IkFua2UiLCJwYXJzZS1uYW1lcyI6ZmFsc2UsImRyb3BwaW5nLXBhcnRpY2xlIjoiIiwibm9uLWRyb3BwaW5nLXBhcnRpY2xlIjoiIn0seyJmYW1pbHkiOiJQcm9ic3QiLCJnaXZlbiI6IkNocmlzdGlhbiIsInBhcnNlLW5hbWVzIjpmYWxzZSwiZHJvcHBpbmctcGFydGljbGUiOiIiLCJub24tZHJvcHBpbmctcGFydGljbGUiOiIifSx7ImZhbWlseSI6IktvbW9yb3dza2kiLCJnaXZlbiI6IkxhcnMiLCJwYXJzZS1uYW1lcyI6ZmFsc2UsImRyb3BwaW5nLXBhcnRpY2xlIjoiIiwibm9uLWRyb3BwaW5nLXBhcnRpY2xlIjoiIn0seyJmYW1pbHkiOiJTYXNjaGVuYnJlY2tlciIsImdpdmVuIjoiU2FuZHJhIiwicGFyc2UtbmFtZXMiOmZhbHNlLCJkcm9wcGluZy1wYXJ0aWNsZSI6IiIsIm5vbi1kcm9wcGluZy1wYXJ0aWNsZSI6IiJ9LHsiZmFtaWx5IjoiU2NobHVtYmVyZ2VyIiwiZ2l2ZW4iOiJXb2xmZ2FuZyIsInBhcnNlLW5hbWVzIjpmYWxzZSwiZHJvcHBpbmctcGFydGljbGUiOiIiLCJub24tZHJvcHBpbmctcGFydGljbGUiOiIifSx7ImZhbWlseSI6IlN0w7Zja2VyIiwiZ2l2ZW4iOiJXaW5mcmllZCIsInBhcnNlLW5hbWVzIjpmYWxzZSwiZHJvcHBpbmctcGFydGljbGUiOiIiLCJub24tZHJvcHBpbmctcGFydGljbGUiOiIifSx7ImZhbWlseSI6Ikhhc2hpbW90byIsImdpdmVuIjoiVGFrYXNoaSIsInBhcnNlLW5hbWVzIjpmYWxzZSwiZHJvcHBpbmctcGFydGljbGUiOiIiLCJub24tZHJvcHBpbmctcGFydGljbGUiOiIifSx7ImZhbWlseSI6IkJyw7Zja2VyIiwiZ2l2ZW4iOiJFdmHigJBCZXR0aW5hIiwicGFyc2UtbmFtZXMiOmZhbHNlLCJkcm9wcGluZy1wYXJ0aWNsZSI6IiIsIm5vbi1kcm9wcGluZy1wYXJ0aWNsZSI6IiJ9LHsiZmFtaWx5IjoiUmVja2UiLCJnaXZlbiI6IkFuZHJlYXMiLCJwYXJzZS1uYW1lcyI6ZmFsc2UsImRyb3BwaW5nLXBhcnRpY2xlIjoiIiwibm9uLWRyb3BwaW5nLXBhcnRpY2xlIjoiIn0seyJmYW1pbHkiOiJSb3NlIiwiZ2l2ZW4iOiJDaHJpc3RpYW4iLCJwYXJzZS1uYW1lcyI6ZmFsc2UsImRyb3BwaW5nLXBhcnRpY2xlIjoiIiwibm9uLWRyb3BwaW5nLXBhcnRpY2xlIjoiIn0seyJmYW1pbHkiOiJaaWxsaWtlbnMiLCJnaXZlbiI6IkRldGxlZiIsInBhcnNlLW5hbWVzIjpmYWxzZSwiZHJvcHBpbmctcGFydGljbGUiOiIiLCJub24tZHJvcHBpbmctcGFydGljbGUiOiIifV0sImNvbnRhaW5lci10aXRsZSI6IkV4cGVyaW1lbnRhbCBEZXJtYXRvbG9neSIsImNvbnRhaW5lci10aXRsZS1zaG9ydCI6IkV4cCBEZXJtYXRvbCIsIkRPSSI6IjEwLjExMTEvai4xNjAwLTA2MjUuMjAxMC4wMTA2OS54IiwiSVNTTiI6IjA5MDYtNjcwNSIsImlzc3VlZCI6eyJkYXRlLXBhcnRzIjpbWzIwMTAsNSwxMl1dfSwicGFnZSI6IjQ1OC00NjMiLCJhYnN0cmFjdCI6IjxwPiA8aXRhbGljPlBsZWFzZSBjaXRlIHRoaXMgcGFwZXIgYXM6PC9pdGFsaWM+IE5vdmVsIEVMSVNBIHN5c3RlbXMgZm9yIGFudGlib2RpZXMgdG8gZGVzbW9nbGVpbiAxIGFuZCAzOiBjb3JyZWxhdGlvbiBvZiBkaXNlYXNlIGFjdGl2aXR5IHdpdGggc2VydW0gYXV0b2FudGlib2R5IGxldmVscyBpbiBpbmRpdmlkdWFsIHBlbXBoaWd1cyBwYXRpZW50cy4gRXhwZXJpbWVudGFsIERlcm1hdG9sb2d5IDIwMTA7IDE5OiA0NTjigJM0NjMuIDwvcD4iLCJpc3N1ZSI6IjUiLCJ2b2x1bWUiOiIxOSJ9LCJpc1RlbXBvcmFyeSI6ZmFsc2V9XX0=&quot;,&quot;citationItems&quot;:[{&quot;id&quot;:&quot;f279b10c-56e6-31b5-9cb3-b7981a825c67&quot;,&quot;itemData&quot;:{&quot;type&quot;:&quot;article-journal&quot;,&quot;id&quot;:&quot;f279b10c-56e6-31b5-9cb3-b7981a825c67&quot;,&quot;title&quot;:&quot;Novel ELISA systems for antibodies to desmoglein 1 and 3: correlation of disease activity with serum autoantibody levels in individual pemphigus patients&quot;,&quot;author&quot;:[{&quot;family&quot;:&quot;Schmidt&quot;,&quot;given&quot;:&quot;Enno&quot;,&quot;parse-names&quot;:false,&quot;dropping-particle&quot;:&quot;&quot;,&quot;non-dropping-particle&quot;:&quot;&quot;},{&quot;family&quot;:&quot;Dähnrich&quot;,&quot;given&quot;:&quot;Cornelia&quot;,&quot;parse-names&quot;:false,&quot;dropping-particle&quot;:&quot;&quot;,&quot;non-dropping-particle&quot;:&quot;&quot;},{&quot;family&quot;:&quot;Rosemann&quot;,&quot;given&quot;:&quot;Anke&quot;,&quot;parse-names&quot;:false,&quot;dropping-particle&quot;:&quot;&quot;,&quot;non-dropping-particle&quot;:&quot;&quot;},{&quot;family&quot;:&quot;Probst&quot;,&quot;given&quot;:&quot;Christian&quot;,&quot;parse-names&quot;:false,&quot;dropping-particle&quot;:&quot;&quot;,&quot;non-dropping-particle&quot;:&quot;&quot;},{&quot;family&quot;:&quot;Komorowski&quot;,&quot;given&quot;:&quot;Lars&quot;,&quot;parse-names&quot;:false,&quot;dropping-particle&quot;:&quot;&quot;,&quot;non-dropping-particle&quot;:&quot;&quot;},{&quot;family&quot;:&quot;Saschenbrecker&quot;,&quot;given&quot;:&quot;Sandra&quot;,&quot;parse-names&quot;:false,&quot;dropping-particle&quot;:&quot;&quot;,&quot;non-dropping-particle&quot;:&quot;&quot;},{&quot;family&quot;:&quot;Schlumberger&quot;,&quot;given&quot;:&quot;Wolfgang&quot;,&quot;parse-names&quot;:false,&quot;dropping-particle&quot;:&quot;&quot;,&quot;non-dropping-particle&quot;:&quot;&quot;},{&quot;family&quot;:&quot;Stöcker&quot;,&quot;given&quot;:&quot;Winfried&quot;,&quot;parse-names&quot;:false,&quot;dropping-particle&quot;:&quot;&quot;,&quot;non-dropping-particle&quot;:&quot;&quot;},{&quot;family&quot;:&quot;Hashimoto&quot;,&quot;given&quot;:&quot;Takashi&quot;,&quot;parse-names&quot;:false,&quot;dropping-particle&quot;:&quot;&quot;,&quot;non-dropping-particle&quot;:&quot;&quot;},{&quot;family&quot;:&quot;Bröcker&quot;,&quot;given&quot;:&quot;Eva‐Bettina&quot;,&quot;parse-names&quot;:false,&quot;dropping-particle&quot;:&quot;&quot;,&quot;non-dropping-particle&quot;:&quot;&quot;},{&quot;family&quot;:&quot;Recke&quot;,&quot;given&quot;:&quot;Andreas&quot;,&quot;parse-names&quot;:false,&quot;dropping-particle&quot;:&quot;&quot;,&quot;non-dropping-particle&quot;:&quot;&quot;},{&quot;family&quot;:&quot;Rose&quot;,&quot;given&quot;:&quot;Christian&quot;,&quot;parse-names&quot;:false,&quot;dropping-particle&quot;:&quot;&quot;,&quot;non-dropping-particle&quot;:&quot;&quot;},{&quot;family&quot;:&quot;Zillikens&quot;,&quot;given&quot;:&quot;Detlef&quot;,&quot;parse-names&quot;:false,&quot;dropping-particle&quot;:&quot;&quot;,&quot;non-dropping-particle&quot;:&quot;&quot;}],&quot;container-title&quot;:&quot;Experimental Dermatology&quot;,&quot;container-title-short&quot;:&quot;Exp Dermatol&quot;,&quot;DOI&quot;:&quot;10.1111/j.1600-0625.2010.01069.x&quot;,&quot;ISSN&quot;:&quot;0906-6705&quot;,&quot;issued&quot;:{&quot;date-parts&quot;:[[2010,5,12]]},&quot;page&quot;:&quot;458-463&quot;,&quot;abstract&quot;:&quot;&lt;p&gt; &lt;italic&gt;Please cite this paper as:&lt;/italic&gt; Novel ELISA systems for antibodies to desmoglein 1 and 3: correlation of disease activity with serum autoantibody levels in individual pemphigus patients. Experimental Dermatology 2010; 19: 458–463. &lt;/p&gt;&quot;,&quot;issue&quot;:&quot;5&quot;,&quot;volume&quot;:&quot;19&quot;},&quot;isTemporary&quot;:false}]},{&quot;citationID&quot;:&quot;MENDELEY_CITATION_54f3bf2f-1403-4b05-a8ce-290a854c71eb&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NTRmM2JmMmYtMTQwMy00YjA1LWE4Y2UtMjkwYTg1NGM3MWViIiwicHJvcGVydGllcyI6eyJub3RlSW5kZXgiOjB9LCJpc0VkaXRlZCI6ZmFsc2UsIm1hbnVhbE92ZXJyaWRlIjp7ImlzTWFudWFsbHlPdmVycmlkZGVuIjpmYWxzZSwiY2l0ZXByb2NUZXh0IjoiPHN1cD42PC9zdXA+IiwibWFudWFsT3ZlcnJpZGVUZXh0IjoiIn0sImNpdGF0aW9uSXRlbXMiOlt7ImlkIjoiNjgwNWExNTQtNjk2ZC0zNjQ0LWJjYjYtNjhkYjY4NWMxOWEzIiwiaXRlbURhdGEiOnsidHlwZSI6ImFydGljbGUtam91cm5hbCIsImlkIjoiNjgwNWExNTQtNjk2ZC0zNjQ0LWJjYjYtNjhkYjY4NWMxOWEzIiwidGl0bGUiOiJUeXBlIDIgVC1DZWxsIFJlc3BvbnNlcyBhZ2FpbnN0IERpc3RpbmN0IEVwaXRvcGVzIG9mIHRoZSBEZXNtb2dsZWluIDMgRWN0b2RvbWFpbiBpbiBQZW1waGlndXMgVnVsZ2FyaXMiLCJhdXRob3IiOlt7ImZhbWlseSI6IkRpZG9uYSIsImdpdmVuIjoiRGFyaW8iLCJwYXJzZS1uYW1lcyI6ZmFsc2UsImRyb3BwaW5nLXBhcnRpY2xlIjoiIiwibm9uLWRyb3BwaW5nLXBhcnRpY2xlIjoiIn0seyJmYW1pbHkiOiJTY2Fyc2VsbGEiLCJnaXZlbiI6Ikx1Y2EiLCJwYXJzZS1uYW1lcyI6ZmFsc2UsImRyb3BwaW5nLXBhcnRpY2xlIjoiIiwibm9uLWRyb3BwaW5nLXBhcnRpY2xlIjoiIn0seyJmYW1pbHkiOiJIdWRlbWFubiIsImdpdmVuIjoiQ2hyaXN0b3BoIiwicGFyc2UtbmFtZXMiOmZhbHNlLCJkcm9wcGluZy1wYXJ0aWNsZSI6IiIsIm5vbi1kcm9wcGluZy1wYXJ0aWNsZSI6IiJ9LHsiZmFtaWx5IjoiVm9sa21hbm4iLCJnaXZlbiI6Ikthcm9saW4iLCJwYXJzZS1uYW1lcyI6ZmFsc2UsImRyb3BwaW5nLXBhcnRpY2xlIjoiIiwibm9uLWRyb3BwaW5nLXBhcnRpY2xlIjoiIn0seyJmYW1pbHkiOiJaaW1tZXIiLCJnaXZlbiI6IkNocmlzdGluZSBMLiIsInBhcnNlLW5hbWVzIjpmYWxzZSwiZHJvcHBpbmctcGFydGljbGUiOiIiLCJub24tZHJvcHBpbmctcGFydGljbGUiOiIifSx7ImZhbWlseSI6IkJlY2tlcnQiLCJnaXZlbiI6IkJlbmVkaWt0IiwicGFyc2UtbmFtZXMiOmZhbHNlLCJkcm9wcGluZy1wYXJ0aWNsZSI6IiIsIm5vbi1kcm9wcGluZy1wYXJ0aWNsZSI6IiJ9LHsiZmFtaWx5IjoiVGlra2FuZW4iLCJnaXZlbiI6IlJpdHZhIiwicGFyc2UtbmFtZXMiOmZhbHNlLCJkcm9wcGluZy1wYXJ0aWNsZSI6IiIsIm5vbi1kcm9wcGluZy1wYXJ0aWNsZSI6IiJ9LHsiZmFtaWx5IjoiS29yZmYiLCJnaXZlbiI6IlZlcmEiLCJwYXJzZS1uYW1lcyI6ZmFsc2UsImRyb3BwaW5nLXBhcnRpY2xlIjoiIiwibm9uLWRyb3BwaW5nLXBhcnRpY2xlIjoiIn0seyJmYW1pbHkiOiJLw7xobiIsImdpdmVuIjoiS2F0amEiLCJwYXJzZS1uYW1lcyI6ZmFsc2UsImRyb3BwaW5nLXBhcnRpY2xlIjoiIiwibm9uLWRyb3BwaW5nLXBhcnRpY2xlIjoiIn0seyJmYW1pbHkiOiJXaWVuemVrLUxpc2Noa2EiLCJnaXZlbiI6IlNhbmRyYSIsInBhcnNlLW5hbWVzIjpmYWxzZSwiZHJvcHBpbmctcGFydGljbGUiOiIiLCJub24tZHJvcHBpbmctcGFydGljbGUiOiIifSx7ImZhbWlseSI6IkJlaW4iLCJnaXZlbiI6IkdyZWdvciIsInBhcnNlLW5hbWVzIjpmYWxzZSwiZHJvcHBpbmctcGFydGljbGUiOiIiLCJub24tZHJvcHBpbmctcGFydGljbGUiOiIifSx7ImZhbWlseSI6IlplbnpvIiwiZ2l2ZW4iOiJHaW92YW5uaSIsInBhcnNlLW5hbWVzIjpmYWxzZSwiZHJvcHBpbmctcGFydGljbGUiOiIiLCJub24tZHJvcHBpbmctcGFydGljbGUiOiJEaSJ9LHsiZmFtaWx5IjoiQsO2aG1lIiwiZ2l2ZW4iOiJKYXF1ZWxpbmUiLCJwYXJzZS1uYW1lcyI6ZmFsc2UsImRyb3BwaW5nLXBhcnRpY2xlIjoiIiwibm9uLWRyb3BwaW5nLXBhcnRpY2xlIjoiIn0seyJmYW1pbHkiOiJDdW5oYSIsImdpdmVuIjoiVG9tYXMiLCJwYXJzZS1uYW1lcyI6ZmFsc2UsImRyb3BwaW5nLXBhcnRpY2xlIjoiIiwibm9uLWRyb3BwaW5nLXBhcnRpY2xlIjoiIn0seyJmYW1pbHkiOiJTb2xpbWFuaSIsImdpdmVuIjoiRmFyemFuIiwicGFyc2UtbmFtZXMiOmZhbHNlLCJkcm9wcGluZy1wYXJ0aWNsZSI6IiIsIm5vbi1kcm9wcGluZy1wYXJ0aWNsZSI6IiJ9LHsiZmFtaWx5IjoiUGllcGVyIiwiZ2l2ZW4iOiJKb3NxdWluIiwicGFyc2UtbmFtZXMiOmZhbHNlLCJkcm9wcGluZy1wYXJ0aWNsZSI6IiIsIm5vbi1kcm9wcGluZy1wYXJ0aWNsZSI6IiJ9LHsiZmFtaWx5IjoiSnVyYXRsaSIsImdpdmVuIjoiSGF6ZW0gQS4iLCJwYXJzZS1uYW1lcyI6ZmFsc2UsImRyb3BwaW5nLXBhcnRpY2xlIjoiIiwibm9uLWRyb3BwaW5nLXBhcnRpY2xlIjoiIn0seyJmYW1pbHkiOiJHw7ZiZWwiLCJnaXZlbiI6Ik1hbnVlbCIsInBhcnNlLW5hbWVzIjpmYWxzZSwiZHJvcHBpbmctcGFydGljbGUiOiIiLCJub24tZHJvcHBpbmctcGFydGljbGUiOiIifSx7ImZhbWlseSI6IlNjaG1pZHQiLCJnaXZlbiI6IlRob21hcyIsInBhcnNlLW5hbWVzIjpmYWxzZSwiZHJvcHBpbmctcGFydGljbGUiOiIiLCJub24tZHJvcHBpbmctcGFydGljbGUiOiIifSx7ImZhbWlseSI6IkJvcnJhZG9yaSIsImdpdmVuIjoiTHVjYSIsInBhcnNlLW5hbWVzIjpmYWxzZSwiZHJvcHBpbmctcGFydGljbGUiOiIiLCJub24tZHJvcHBpbmctcGFydGljbGUiOiIifSx7ImZhbWlseSI6IllhemRpIiwiZ2l2ZW4iOiJBbWlyIFMuIiwicGFyc2UtbmFtZXMiOmZhbHNlLCJkcm9wcGluZy1wYXJ0aWNsZSI6IiIsIm5vbi1kcm9wcGluZy1wYXJ0aWNsZSI6IiJ9LHsiZmFtaWx5IjoiU2l0YXJ1IiwiZ2l2ZW4iOiJDYXNzaWFuIiwicGFyc2UtbmFtZXMiOmZhbHNlLCJkcm9wcGluZy1wYXJ0aWNsZSI6IiIsIm5vbi1kcm9wcGluZy1wYXJ0aWNsZSI6IiJ9LHsiZmFtaWx5IjoiR2FybiIsImdpdmVuIjoiSG9sZ2VyIiwicGFyc2UtbmFtZXMiOmZhbHNlLCJkcm9wcGluZy1wYXJ0aWNsZSI6IiIsIm5vbi1kcm9wcGluZy1wYXJ0aWNsZSI6IiJ9LHsiZmFtaWx5IjoiRW1pbmciLCJnaXZlbiI6IlLDvGRpZ2VyIiwicGFyc2UtbmFtZXMiOmZhbHNlLCJkcm9wcGluZy1wYXJ0aWNsZSI6IiIsIm5vbi1kcm9wcGluZy1wYXJ0aWNsZSI6IiJ9LHsiZmFtaWx5IjoiRmxlaXNjaGVyIiwiZ2l2ZW4iOiJTYWJpbmUiLCJwYXJzZS1uYW1lcyI6ZmFsc2UsImRyb3BwaW5nLXBhcnRpY2xlIjoiIiwibm9uLWRyb3BwaW5nLXBhcnRpY2xlIjoiIn0seyJmYW1pbHkiOiJIZXJ0bCIsImdpdmVuIjoiTWljaGFlbCIsInBhcnNlLW5hbWVzIjpmYWxzZSwiZHJvcHBpbmctcGFydGljbGUiOiIiLCJub24tZHJvcHBpbmctcGFydGljbGUiOiIifV0sImNvbnRhaW5lci10aXRsZSI6IkpvdXJuYWwgb2YgSW52ZXN0aWdhdGl2ZSBEZXJtYXRvbG9neSIsIkRPSSI6IjEwLjEwMTYvai5qaWQuMjAyMy4wNy4wMjUiLCJJU1NOIjoiMDAyMjIwMlgiLCJpc3N1ZWQiOnsiZGF0ZS1wYXJ0cyI6W1syMDI0LDJdXX0sInBhZ2UiOiIyNjMtMjcyLmU4IiwiaXNzdWUiOiIyIiwidm9sdW1lIjoiMTQ0IiwiY29udGFpbmVyLXRpdGxlLXNob3J0IjoiIn0sImlzVGVtcG9yYXJ5IjpmYWxzZX1dfQ==&quot;,&quot;citationItems&quot;:[{&quot;id&quot;:&quot;6805a154-696d-3644-bcb6-68db685c19a3&quot;,&quot;itemData&quot;:{&quot;type&quot;:&quot;article-journal&quot;,&quot;id&quot;:&quot;6805a154-696d-3644-bcb6-68db685c19a3&quot;,&quot;title&quot;:&quot;Type 2 T-Cell Responses against Distinct Epitopes of the Desmoglein 3 Ectodomain in Pemphigus Vulgaris&quot;,&quot;author&quot;:[{&quot;family&quot;:&quot;Didona&quot;,&quot;given&quot;:&quot;Dario&quot;,&quot;parse-names&quot;:false,&quot;dropping-particle&quot;:&quot;&quot;,&quot;non-dropping-particle&quot;:&quot;&quot;},{&quot;family&quot;:&quot;Scarsella&quot;,&quot;given&quot;:&quot;Luca&quot;,&quot;parse-names&quot;:false,&quot;dropping-particle&quot;:&quot;&quot;,&quot;non-dropping-particle&quot;:&quot;&quot;},{&quot;family&quot;:&quot;Hudemann&quot;,&quot;given&quot;:&quot;Christoph&quot;,&quot;parse-names&quot;:false,&quot;dropping-particle&quot;:&quot;&quot;,&quot;non-dropping-particle&quot;:&quot;&quot;},{&quot;family&quot;:&quot;Volkmann&quot;,&quot;given&quot;:&quot;Karolin&quot;,&quot;parse-names&quot;:false,&quot;dropping-particle&quot;:&quot;&quot;,&quot;non-dropping-particle&quot;:&quot;&quot;},{&quot;family&quot;:&quot;Zimmer&quot;,&quot;given&quot;:&quot;Christine L.&quot;,&quot;parse-names&quot;:false,&quot;dropping-particle&quot;:&quot;&quot;,&quot;non-dropping-particle&quot;:&quot;&quot;},{&quot;family&quot;:&quot;Beckert&quot;,&quot;given&quot;:&quot;Benedikt&quot;,&quot;parse-names&quot;:false,&quot;dropping-particle&quot;:&quot;&quot;,&quot;non-dropping-particle&quot;:&quot;&quot;},{&quot;family&quot;:&quot;Tikkanen&quot;,&quot;given&quot;:&quot;Ritva&quot;,&quot;parse-names&quot;:false,&quot;dropping-particle&quot;:&quot;&quot;,&quot;non-dropping-particle&quot;:&quot;&quot;},{&quot;family&quot;:&quot;Korff&quot;,&quot;given&quot;:&quot;Vera&quot;,&quot;parse-names&quot;:false,&quot;dropping-particle&quot;:&quot;&quot;,&quot;non-dropping-particle&quot;:&quot;&quot;},{&quot;family&quot;:&quot;Kühn&quot;,&quot;given&quot;:&quot;Katja&quot;,&quot;parse-names&quot;:false,&quot;dropping-particle&quot;:&quot;&quot;,&quot;non-dropping-particle&quot;:&quot;&quot;},{&quot;family&quot;:&quot;Wienzek-Lischka&quot;,&quot;given&quot;:&quot;Sandra&quot;,&quot;parse-names&quot;:false,&quot;dropping-particle&quot;:&quot;&quot;,&quot;non-dropping-particle&quot;:&quot;&quot;},{&quot;family&quot;:&quot;Bein&quot;,&quot;given&quot;:&quot;Gregor&quot;,&quot;parse-names&quot;:false,&quot;dropping-particle&quot;:&quot;&quot;,&quot;non-dropping-particle&quot;:&quot;&quot;},{&quot;family&quot;:&quot;Zenzo&quot;,&quot;given&quot;:&quot;Giovanni&quot;,&quot;parse-names&quot;:false,&quot;dropping-particle&quot;:&quot;&quot;,&quot;non-dropping-particle&quot;:&quot;Di&quot;},{&quot;family&quot;:&quot;Böhme&quot;,&quot;given&quot;:&quot;Jaqueline&quot;,&quot;parse-names&quot;:false,&quot;dropping-particle&quot;:&quot;&quot;,&quot;non-dropping-particle&quot;:&quot;&quot;},{&quot;family&quot;:&quot;Cunha&quot;,&quot;given&quot;:&quot;Tomas&quot;,&quot;parse-names&quot;:false,&quot;dropping-particle&quot;:&quot;&quot;,&quot;non-dropping-particle&quot;:&quot;&quot;},{&quot;family&quot;:&quot;Solimani&quot;,&quot;given&quot;:&quot;Farzan&quot;,&quot;parse-names&quot;:false,&quot;dropping-particle&quot;:&quot;&quot;,&quot;non-dropping-particle&quot;:&quot;&quot;},{&quot;family&quot;:&quot;Pieper&quot;,&quot;given&quot;:&quot;Josquin&quot;,&quot;parse-names&quot;:false,&quot;dropping-particle&quot;:&quot;&quot;,&quot;non-dropping-particle&quot;:&quot;&quot;},{&quot;family&quot;:&quot;Juratli&quot;,&quot;given&quot;:&quot;Hazem A.&quot;,&quot;parse-names&quot;:false,&quot;dropping-particle&quot;:&quot;&quot;,&quot;non-dropping-particle&quot;:&quot;&quot;},{&quot;family&quot;:&quot;Göbel&quot;,&quot;given&quot;:&quot;Manuel&quot;,&quot;parse-names&quot;:false,&quot;dropping-particle&quot;:&quot;&quot;,&quot;non-dropping-particle&quot;:&quot;&quot;},{&quot;family&quot;:&quot;Schmidt&quot;,&quot;given&quot;:&quot;Thomas&quot;,&quot;parse-names&quot;:false,&quot;dropping-particle&quot;:&quot;&quot;,&quot;non-dropping-particle&quot;:&quot;&quot;},{&quot;family&quot;:&quot;Borradori&quot;,&quot;given&quot;:&quot;Luca&quot;,&quot;parse-names&quot;:false,&quot;dropping-particle&quot;:&quot;&quot;,&quot;non-dropping-particle&quot;:&quot;&quot;},{&quot;family&quot;:&quot;Yazdi&quot;,&quot;given&quot;:&quot;Amir S.&quot;,&quot;parse-names&quot;:false,&quot;dropping-particle&quot;:&quot;&quot;,&quot;non-dropping-particle&quot;:&quot;&quot;},{&quot;family&quot;:&quot;Sitaru&quot;,&quot;given&quot;:&quot;Cassian&quot;,&quot;parse-names&quot;:false,&quot;dropping-particle&quot;:&quot;&quot;,&quot;non-dropping-particle&quot;:&quot;&quot;},{&quot;family&quot;:&quot;Garn&quot;,&quot;given&quot;:&quot;Holger&quot;,&quot;parse-names&quot;:false,&quot;dropping-particle&quot;:&quot;&quot;,&quot;non-dropping-particle&quot;:&quot;&quot;},{&quot;family&quot;:&quot;Eming&quot;,&quot;given&quot;:&quot;Rüdiger&quot;,&quot;parse-names&quot;:false,&quot;dropping-particle&quot;:&quot;&quot;,&quot;non-dropping-particle&quot;:&quot;&quot;},{&quot;family&quot;:&quot;Fleischer&quot;,&quot;given&quot;:&quot;Sabine&quot;,&quot;parse-names&quot;:false,&quot;dropping-particle&quot;:&quot;&quot;,&quot;non-dropping-particle&quot;:&quot;&quot;},{&quot;family&quot;:&quot;Hertl&quot;,&quot;given&quot;:&quot;Michael&quot;,&quot;parse-names&quot;:false,&quot;dropping-particle&quot;:&quot;&quot;,&quot;non-dropping-particle&quot;:&quot;&quot;}],&quot;container-title&quot;:&quot;Journal of Investigative Dermatology&quot;,&quot;DOI&quot;:&quot;10.1016/j.jid.2023.07.025&quot;,&quot;ISSN&quot;:&quot;0022202X&quot;,&quot;issued&quot;:{&quot;date-parts&quot;:[[2024,2]]},&quot;page&quot;:&quot;263-272.e8&quot;,&quot;issue&quot;:&quot;2&quot;,&quot;volume&quot;:&quot;144&quot;,&quot;container-title-short&quot;:&quot;&quot;},&quot;isTemporary&quot;:false}]},{&quot;citationID&quot;:&quot;MENDELEY_CITATION_3db27cfc-988f-4677-8d85-3802e47775dc&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M2RiMjdjZmMtOTg4Zi00Njc3LThkODUtMzgwMmU0Nzc3NWRjIiwicHJvcGVydGllcyI6eyJub3RlSW5kZXgiOjB9LCJpc0VkaXRlZCI6ZmFsc2UsIm1hbnVhbE92ZXJyaWRlIjp7ImlzTWFudWFsbHlPdmVycmlkZGVuIjpmYWxzZSwiY2l0ZXByb2NUZXh0IjoiPHN1cD42PC9zdXA+IiwibWFudWFsT3ZlcnJpZGVUZXh0IjoiIn0sImNpdGF0aW9uSXRlbXMiOlt7ImlkIjoiNjgwNWExNTQtNjk2ZC0zNjQ0LWJjYjYtNjhkYjY4NWMxOWEzIiwiaXRlbURhdGEiOnsidHlwZSI6ImFydGljbGUtam91cm5hbCIsImlkIjoiNjgwNWExNTQtNjk2ZC0zNjQ0LWJjYjYtNjhkYjY4NWMxOWEzIiwidGl0bGUiOiJUeXBlIDIgVC1DZWxsIFJlc3BvbnNlcyBhZ2FpbnN0IERpc3RpbmN0IEVwaXRvcGVzIG9mIHRoZSBEZXNtb2dsZWluIDMgRWN0b2RvbWFpbiBpbiBQZW1waGlndXMgVnVsZ2FyaXMiLCJhdXRob3IiOlt7ImZhbWlseSI6IkRpZG9uYSIsImdpdmVuIjoiRGFyaW8iLCJwYXJzZS1uYW1lcyI6ZmFsc2UsImRyb3BwaW5nLXBhcnRpY2xlIjoiIiwibm9uLWRyb3BwaW5nLXBhcnRpY2xlIjoiIn0seyJmYW1pbHkiOiJTY2Fyc2VsbGEiLCJnaXZlbiI6Ikx1Y2EiLCJwYXJzZS1uYW1lcyI6ZmFsc2UsImRyb3BwaW5nLXBhcnRpY2xlIjoiIiwibm9uLWRyb3BwaW5nLXBhcnRpY2xlIjoiIn0seyJmYW1pbHkiOiJIdWRlbWFubiIsImdpdmVuIjoiQ2hyaXN0b3BoIiwicGFyc2UtbmFtZXMiOmZhbHNlLCJkcm9wcGluZy1wYXJ0aWNsZSI6IiIsIm5vbi1kcm9wcGluZy1wYXJ0aWNsZSI6IiJ9LHsiZmFtaWx5IjoiVm9sa21hbm4iLCJnaXZlbiI6Ikthcm9saW4iLCJwYXJzZS1uYW1lcyI6ZmFsc2UsImRyb3BwaW5nLXBhcnRpY2xlIjoiIiwibm9uLWRyb3BwaW5nLXBhcnRpY2xlIjoiIn0seyJmYW1pbHkiOiJaaW1tZXIiLCJnaXZlbiI6IkNocmlzdGluZSBMLiIsInBhcnNlLW5hbWVzIjpmYWxzZSwiZHJvcHBpbmctcGFydGljbGUiOiIiLCJub24tZHJvcHBpbmctcGFydGljbGUiOiIifSx7ImZhbWlseSI6IkJlY2tlcnQiLCJnaXZlbiI6IkJlbmVkaWt0IiwicGFyc2UtbmFtZXMiOmZhbHNlLCJkcm9wcGluZy1wYXJ0aWNsZSI6IiIsIm5vbi1kcm9wcGluZy1wYXJ0aWNsZSI6IiJ9LHsiZmFtaWx5IjoiVGlra2FuZW4iLCJnaXZlbiI6IlJpdHZhIiwicGFyc2UtbmFtZXMiOmZhbHNlLCJkcm9wcGluZy1wYXJ0aWNsZSI6IiIsIm5vbi1kcm9wcGluZy1wYXJ0aWNsZSI6IiJ9LHsiZmFtaWx5IjoiS29yZmYiLCJnaXZlbiI6IlZlcmEiLCJwYXJzZS1uYW1lcyI6ZmFsc2UsImRyb3BwaW5nLXBhcnRpY2xlIjoiIiwibm9uLWRyb3BwaW5nLXBhcnRpY2xlIjoiIn0seyJmYW1pbHkiOiJLw7xobiIsImdpdmVuIjoiS2F0amEiLCJwYXJzZS1uYW1lcyI6ZmFsc2UsImRyb3BwaW5nLXBhcnRpY2xlIjoiIiwibm9uLWRyb3BwaW5nLXBhcnRpY2xlIjoiIn0seyJmYW1pbHkiOiJXaWVuemVrLUxpc2Noa2EiLCJnaXZlbiI6IlNhbmRyYSIsInBhcnNlLW5hbWVzIjpmYWxzZSwiZHJvcHBpbmctcGFydGljbGUiOiIiLCJub24tZHJvcHBpbmctcGFydGljbGUiOiIifSx7ImZhbWlseSI6IkJlaW4iLCJnaXZlbiI6IkdyZWdvciIsInBhcnNlLW5hbWVzIjpmYWxzZSwiZHJvcHBpbmctcGFydGljbGUiOiIiLCJub24tZHJvcHBpbmctcGFydGljbGUiOiIifSx7ImZhbWlseSI6IlplbnpvIiwiZ2l2ZW4iOiJHaW92YW5uaSIsInBhcnNlLW5hbWVzIjpmYWxzZSwiZHJvcHBpbmctcGFydGljbGUiOiIiLCJub24tZHJvcHBpbmctcGFydGljbGUiOiJEaSJ9LHsiZmFtaWx5IjoiQsO2aG1lIiwiZ2l2ZW4iOiJKYXF1ZWxpbmUiLCJwYXJzZS1uYW1lcyI6ZmFsc2UsImRyb3BwaW5nLXBhcnRpY2xlIjoiIiwibm9uLWRyb3BwaW5nLXBhcnRpY2xlIjoiIn0seyJmYW1pbHkiOiJDdW5oYSIsImdpdmVuIjoiVG9tYXMiLCJwYXJzZS1uYW1lcyI6ZmFsc2UsImRyb3BwaW5nLXBhcnRpY2xlIjoiIiwibm9uLWRyb3BwaW5nLXBhcnRpY2xlIjoiIn0seyJmYW1pbHkiOiJTb2xpbWFuaSIsImdpdmVuIjoiRmFyemFuIiwicGFyc2UtbmFtZXMiOmZhbHNlLCJkcm9wcGluZy1wYXJ0aWNsZSI6IiIsIm5vbi1kcm9wcGluZy1wYXJ0aWNsZSI6IiJ9LHsiZmFtaWx5IjoiUGllcGVyIiwiZ2l2ZW4iOiJKb3NxdWluIiwicGFyc2UtbmFtZXMiOmZhbHNlLCJkcm9wcGluZy1wYXJ0aWNsZSI6IiIsIm5vbi1kcm9wcGluZy1wYXJ0aWNsZSI6IiJ9LHsiZmFtaWx5IjoiSnVyYXRsaSIsImdpdmVuIjoiSGF6ZW0gQS4iLCJwYXJzZS1uYW1lcyI6ZmFsc2UsImRyb3BwaW5nLXBhcnRpY2xlIjoiIiwibm9uLWRyb3BwaW5nLXBhcnRpY2xlIjoiIn0seyJmYW1pbHkiOiJHw7ZiZWwiLCJnaXZlbiI6Ik1hbnVlbCIsInBhcnNlLW5hbWVzIjpmYWxzZSwiZHJvcHBpbmctcGFydGljbGUiOiIiLCJub24tZHJvcHBpbmctcGFydGljbGUiOiIifSx7ImZhbWlseSI6IlNjaG1pZHQiLCJnaXZlbiI6IlRob21hcyIsInBhcnNlLW5hbWVzIjpmYWxzZSwiZHJvcHBpbmctcGFydGljbGUiOiIiLCJub24tZHJvcHBpbmctcGFydGljbGUiOiIifSx7ImZhbWlseSI6IkJvcnJhZG9yaSIsImdpdmVuIjoiTHVjYSIsInBhcnNlLW5hbWVzIjpmYWxzZSwiZHJvcHBpbmctcGFydGljbGUiOiIiLCJub24tZHJvcHBpbmctcGFydGljbGUiOiIifSx7ImZhbWlseSI6IllhemRpIiwiZ2l2ZW4iOiJBbWlyIFMuIiwicGFyc2UtbmFtZXMiOmZhbHNlLCJkcm9wcGluZy1wYXJ0aWNsZSI6IiIsIm5vbi1kcm9wcGluZy1wYXJ0aWNsZSI6IiJ9LHsiZmFtaWx5IjoiU2l0YXJ1IiwiZ2l2ZW4iOiJDYXNzaWFuIiwicGFyc2UtbmFtZXMiOmZhbHNlLCJkcm9wcGluZy1wYXJ0aWNsZSI6IiIsIm5vbi1kcm9wcGluZy1wYXJ0aWNsZSI6IiJ9LHsiZmFtaWx5IjoiR2FybiIsImdpdmVuIjoiSG9sZ2VyIiwicGFyc2UtbmFtZXMiOmZhbHNlLCJkcm9wcGluZy1wYXJ0aWNsZSI6IiIsIm5vbi1kcm9wcGluZy1wYXJ0aWNsZSI6IiJ9LHsiZmFtaWx5IjoiRW1pbmciLCJnaXZlbiI6IlLDvGRpZ2VyIiwicGFyc2UtbmFtZXMiOmZhbHNlLCJkcm9wcGluZy1wYXJ0aWNsZSI6IiIsIm5vbi1kcm9wcGluZy1wYXJ0aWNsZSI6IiJ9LHsiZmFtaWx5IjoiRmxlaXNjaGVyIiwiZ2l2ZW4iOiJTYWJpbmUiLCJwYXJzZS1uYW1lcyI6ZmFsc2UsImRyb3BwaW5nLXBhcnRpY2xlIjoiIiwibm9uLWRyb3BwaW5nLXBhcnRpY2xlIjoiIn0seyJmYW1pbHkiOiJIZXJ0bCIsImdpdmVuIjoiTWljaGFlbCIsInBhcnNlLW5hbWVzIjpmYWxzZSwiZHJvcHBpbmctcGFydGljbGUiOiIiLCJub24tZHJvcHBpbmctcGFydGljbGUiOiIifV0sImNvbnRhaW5lci10aXRsZSI6IkpvdXJuYWwgb2YgSW52ZXN0aWdhdGl2ZSBEZXJtYXRvbG9neSIsIkRPSSI6IjEwLjEwMTYvai5qaWQuMjAyMy4wNy4wMjUiLCJJU1NOIjoiMDAyMjIwMlgiLCJpc3N1ZWQiOnsiZGF0ZS1wYXJ0cyI6W1syMDI0LDJdXX0sInBhZ2UiOiIyNjMtMjcyLmU4IiwiaXNzdWUiOiIyIiwidm9sdW1lIjoiMTQ0IiwiY29udGFpbmVyLXRpdGxlLXNob3J0IjoiIn0sImlzVGVtcG9yYXJ5IjpmYWxzZX1dfQ==&quot;,&quot;citationItems&quot;:[{&quot;id&quot;:&quot;6805a154-696d-3644-bcb6-68db685c19a3&quot;,&quot;itemData&quot;:{&quot;type&quot;:&quot;article-journal&quot;,&quot;id&quot;:&quot;6805a154-696d-3644-bcb6-68db685c19a3&quot;,&quot;title&quot;:&quot;Type 2 T-Cell Responses against Distinct Epitopes of the Desmoglein 3 Ectodomain in Pemphigus Vulgaris&quot;,&quot;author&quot;:[{&quot;family&quot;:&quot;Didona&quot;,&quot;given&quot;:&quot;Dario&quot;,&quot;parse-names&quot;:false,&quot;dropping-particle&quot;:&quot;&quot;,&quot;non-dropping-particle&quot;:&quot;&quot;},{&quot;family&quot;:&quot;Scarsella&quot;,&quot;given&quot;:&quot;Luca&quot;,&quot;parse-names&quot;:false,&quot;dropping-particle&quot;:&quot;&quot;,&quot;non-dropping-particle&quot;:&quot;&quot;},{&quot;family&quot;:&quot;Hudemann&quot;,&quot;given&quot;:&quot;Christoph&quot;,&quot;parse-names&quot;:false,&quot;dropping-particle&quot;:&quot;&quot;,&quot;non-dropping-particle&quot;:&quot;&quot;},{&quot;family&quot;:&quot;Volkmann&quot;,&quot;given&quot;:&quot;Karolin&quot;,&quot;parse-names&quot;:false,&quot;dropping-particle&quot;:&quot;&quot;,&quot;non-dropping-particle&quot;:&quot;&quot;},{&quot;family&quot;:&quot;Zimmer&quot;,&quot;given&quot;:&quot;Christine L.&quot;,&quot;parse-names&quot;:false,&quot;dropping-particle&quot;:&quot;&quot;,&quot;non-dropping-particle&quot;:&quot;&quot;},{&quot;family&quot;:&quot;Beckert&quot;,&quot;given&quot;:&quot;Benedikt&quot;,&quot;parse-names&quot;:false,&quot;dropping-particle&quot;:&quot;&quot;,&quot;non-dropping-particle&quot;:&quot;&quot;},{&quot;family&quot;:&quot;Tikkanen&quot;,&quot;given&quot;:&quot;Ritva&quot;,&quot;parse-names&quot;:false,&quot;dropping-particle&quot;:&quot;&quot;,&quot;non-dropping-particle&quot;:&quot;&quot;},{&quot;family&quot;:&quot;Korff&quot;,&quot;given&quot;:&quot;Vera&quot;,&quot;parse-names&quot;:false,&quot;dropping-particle&quot;:&quot;&quot;,&quot;non-dropping-particle&quot;:&quot;&quot;},{&quot;family&quot;:&quot;Kühn&quot;,&quot;given&quot;:&quot;Katja&quot;,&quot;parse-names&quot;:false,&quot;dropping-particle&quot;:&quot;&quot;,&quot;non-dropping-particle&quot;:&quot;&quot;},{&quot;family&quot;:&quot;Wienzek-Lischka&quot;,&quot;given&quot;:&quot;Sandra&quot;,&quot;parse-names&quot;:false,&quot;dropping-particle&quot;:&quot;&quot;,&quot;non-dropping-particle&quot;:&quot;&quot;},{&quot;family&quot;:&quot;Bein&quot;,&quot;given&quot;:&quot;Gregor&quot;,&quot;parse-names&quot;:false,&quot;dropping-particle&quot;:&quot;&quot;,&quot;non-dropping-particle&quot;:&quot;&quot;},{&quot;family&quot;:&quot;Zenzo&quot;,&quot;given&quot;:&quot;Giovanni&quot;,&quot;parse-names&quot;:false,&quot;dropping-particle&quot;:&quot;&quot;,&quot;non-dropping-particle&quot;:&quot;Di&quot;},{&quot;family&quot;:&quot;Böhme&quot;,&quot;given&quot;:&quot;Jaqueline&quot;,&quot;parse-names&quot;:false,&quot;dropping-particle&quot;:&quot;&quot;,&quot;non-dropping-particle&quot;:&quot;&quot;},{&quot;family&quot;:&quot;Cunha&quot;,&quot;given&quot;:&quot;Tomas&quot;,&quot;parse-names&quot;:false,&quot;dropping-particle&quot;:&quot;&quot;,&quot;non-dropping-particle&quot;:&quot;&quot;},{&quot;family&quot;:&quot;Solimani&quot;,&quot;given&quot;:&quot;Farzan&quot;,&quot;parse-names&quot;:false,&quot;dropping-particle&quot;:&quot;&quot;,&quot;non-dropping-particle&quot;:&quot;&quot;},{&quot;family&quot;:&quot;Pieper&quot;,&quot;given&quot;:&quot;Josquin&quot;,&quot;parse-names&quot;:false,&quot;dropping-particle&quot;:&quot;&quot;,&quot;non-dropping-particle&quot;:&quot;&quot;},{&quot;family&quot;:&quot;Juratli&quot;,&quot;given&quot;:&quot;Hazem A.&quot;,&quot;parse-names&quot;:false,&quot;dropping-particle&quot;:&quot;&quot;,&quot;non-dropping-particle&quot;:&quot;&quot;},{&quot;family&quot;:&quot;Göbel&quot;,&quot;given&quot;:&quot;Manuel&quot;,&quot;parse-names&quot;:false,&quot;dropping-particle&quot;:&quot;&quot;,&quot;non-dropping-particle&quot;:&quot;&quot;},{&quot;family&quot;:&quot;Schmidt&quot;,&quot;given&quot;:&quot;Thomas&quot;,&quot;parse-names&quot;:false,&quot;dropping-particle&quot;:&quot;&quot;,&quot;non-dropping-particle&quot;:&quot;&quot;},{&quot;family&quot;:&quot;Borradori&quot;,&quot;given&quot;:&quot;Luca&quot;,&quot;parse-names&quot;:false,&quot;dropping-particle&quot;:&quot;&quot;,&quot;non-dropping-particle&quot;:&quot;&quot;},{&quot;family&quot;:&quot;Yazdi&quot;,&quot;given&quot;:&quot;Amir S.&quot;,&quot;parse-names&quot;:false,&quot;dropping-particle&quot;:&quot;&quot;,&quot;non-dropping-particle&quot;:&quot;&quot;},{&quot;family&quot;:&quot;Sitaru&quot;,&quot;given&quot;:&quot;Cassian&quot;,&quot;parse-names&quot;:false,&quot;dropping-particle&quot;:&quot;&quot;,&quot;non-dropping-particle&quot;:&quot;&quot;},{&quot;family&quot;:&quot;Garn&quot;,&quot;given&quot;:&quot;Holger&quot;,&quot;parse-names&quot;:false,&quot;dropping-particle&quot;:&quot;&quot;,&quot;non-dropping-particle&quot;:&quot;&quot;},{&quot;family&quot;:&quot;Eming&quot;,&quot;given&quot;:&quot;Rüdiger&quot;,&quot;parse-names&quot;:false,&quot;dropping-particle&quot;:&quot;&quot;,&quot;non-dropping-particle&quot;:&quot;&quot;},{&quot;family&quot;:&quot;Fleischer&quot;,&quot;given&quot;:&quot;Sabine&quot;,&quot;parse-names&quot;:false,&quot;dropping-particle&quot;:&quot;&quot;,&quot;non-dropping-particle&quot;:&quot;&quot;},{&quot;family&quot;:&quot;Hertl&quot;,&quot;given&quot;:&quot;Michael&quot;,&quot;parse-names&quot;:false,&quot;dropping-particle&quot;:&quot;&quot;,&quot;non-dropping-particle&quot;:&quot;&quot;}],&quot;container-title&quot;:&quot;Journal of Investigative Dermatology&quot;,&quot;DOI&quot;:&quot;10.1016/j.jid.2023.07.025&quot;,&quot;ISSN&quot;:&quot;0022202X&quot;,&quot;issued&quot;:{&quot;date-parts&quot;:[[2024,2]]},&quot;page&quot;:&quot;263-272.e8&quot;,&quot;issue&quot;:&quot;2&quot;,&quot;volume&quot;:&quot;144&quot;,&quot;container-title-short&quot;:&quot;&quot;},&quot;isTemporary&quot;:false}]},{&quot;citationID&quot;:&quot;MENDELEY_CITATION_f976c543-dd68-4cbd-aefc-fd30263a5fd7&quot;,&quot;properties&quot;:{&quot;noteIndex&quot;:0},&quot;isEdited&quot;:false,&quot;manualOverride&quot;:{&quot;isManuallyOverridden&quot;:false,&quot;citeprocText&quot;:&quot;&lt;sup&gt;7&lt;/sup&gt;&quot;,&quot;manualOverrideText&quot;:&quot;&quot;},&quot;citationTag&quot;:&quot;MENDELEY_CITATION_v3_eyJjaXRhdGlvbklEIjoiTUVOREVMRVlfQ0lUQVRJT05fZjk3NmM1NDMtZGQ2OC00Y2JkLWFlZmMtZmQzMDI2M2E1ZmQ3IiwicHJvcGVydGllcyI6eyJub3RlSW5kZXgiOjB9LCJpc0VkaXRlZCI6ZmFsc2UsIm1hbnVhbE92ZXJyaWRlIjp7ImlzTWFudWFsbHlPdmVycmlkZGVuIjpmYWxzZSwiY2l0ZXByb2NUZXh0IjoiPHN1cD43PC9zdXA+IiwibWFudWFsT3ZlcnJpZGVUZXh0IjoiIn0sImNpdGF0aW9uSXRlbXMiOlt7ImlkIjoiN2Y1OWVmMjMtYjVkNC0zZWE4LWE1YTctYTQzOTg3ZTQ5ZGMyIiwiaXRlbURhdGEiOnsidHlwZSI6ImFydGljbGUtam91cm5hbCIsImlkIjoiN2Y1OWVmMjMtYjVkNC0zZWE4LWE1YTctYTQzOTg3ZTQ5ZGMyIiwidGl0bGUiOiJJbW1vcnRhbGl6ZWQgSHVtYW4gaFRlcnQvS0VSLUNUIEtlcmF0aW5vY3l0ZXMgYSBNb2RlbCBTeXN0ZW0gZm9yIFJlc2VhcmNoIG9uIERlc21vc29tYWwgQWRoZXNpb24gYW5kIFBhdGhvZ2VuZXNpcyBvZiBQZW1waGlndXMgVnVsZ2FyaXMiLCJhdXRob3IiOlt7ImZhbWlseSI6IkJlY2tlcnQiLCJnaXZlbiI6IkJlbmVkaWt0IiwicGFyc2UtbmFtZXMiOmZhbHNlLCJkcm9wcGluZy1wYXJ0aWNsZSI6IiIsIm5vbi1kcm9wcGluZy1wYXJ0aWNsZSI6IiJ9LHsiZmFtaWx5IjoiUGFuaWNvIiwiZ2l2ZW4iOiJGcmFuY2VzY2EiLCJwYXJzZS1uYW1lcyI6ZmFsc2UsImRyb3BwaW5nLXBhcnRpY2xlIjoiIiwibm9uLWRyb3BwaW5nLXBhcnRpY2xlIjoiIn0seyJmYW1pbHkiOiJQb2xsbWFubiIsImdpdmVuIjoiUm9iZXJ0IiwicGFyc2UtbmFtZXMiOmZhbHNlLCJkcm9wcGluZy1wYXJ0aWNsZSI6IiIsIm5vbi1kcm9wcGluZy1wYXJ0aWNsZSI6IiJ9LHsiZmFtaWx5IjoiRW1pbmciLCJnaXZlbiI6IlLDvGRpZ2VyIiwicGFyc2UtbmFtZXMiOmZhbHNlLCJkcm9wcGluZy1wYXJ0aWNsZSI6IiIsIm5vbi1kcm9wcGluZy1wYXJ0aWNsZSI6IiJ9LHsiZmFtaWx5IjoiQmFubmluZyIsImdpdmVuIjoiQW50amUiLCJwYXJzZS1uYW1lcyI6ZmFsc2UsImRyb3BwaW5nLXBhcnRpY2xlIjoiIiwibm9uLWRyb3BwaW5nLXBhcnRpY2xlIjoiIn0seyJmYW1pbHkiOiJUaWtrYW5lbiIsImdpdmVuIjoiUml0dmEiLCJwYXJzZS1uYW1lcyI6ZmFsc2UsImRyb3BwaW5nLXBhcnRpY2xlIjoiIiwibm9uLWRyb3BwaW5nLXBhcnRpY2xlIjoiIn1dLCJjb250YWluZXItdGl0bGUiOiJJbnRlcm5hdGlvbmFsIEpvdXJuYWwgb2YgTW9sZWN1bGFyIFNjaWVuY2VzIiwiY29udGFpbmVyLXRpdGxlLXNob3J0IjoiSW50IEogTW9sIFNjaSIsIkRPSSI6IjEwLjMzOTAvaWptczIwMTMzMTEzIiwiSVNTTiI6IjE0MjItMDA2NyIsImlzc3VlZCI6eyJkYXRlLXBhcnRzIjpbWzIwMTksNiwyNl1dfSwicGFnZSI6IjMxMTMiLCJhYnN0cmFjdCI6IjxwPlBlbXBoaWd1cyBWdWxnYXJpcyBpcyBhbiBhdXRvaW1tdW5lIGRpc2Vhc2UgdGhhdCByZXN1bHRzIGluIGJsaXN0ZXIgZm9ybWF0aW9uIGluIHRoZSBlcGlkZXJtaXMgYW5kIGluIG11Y29zYWwgdGlzc3VlcyBkdWUgdG8gYW50aWJvZGllcyByZWNvZ25pemluZyBkZXNtb3NvbWFsIGNhZGhlcmlucywgbWFpbmx5IGRlc21vZ2xlaW4tMyBhbmQgLTEuIFN0dWRpZXMgb24gdGhlIG1vbGVjdWxhciBtZWNoYW5pc21zIG9mIFBlbXBoaWd1cyBoYXZlIG1haW5seSBiZWVuIGNhcnJpZWQgb3V0IHVzaW5nIHRoZSBzcG9udGFuZW91c2x5IGltbW9ydGFsaXplZCBodW1hbiBrZXJhdGlub2N5dGUgY2VsbCBsaW5lIEhhQ2FUIG9yIGluIHByaW1hcnkga2VyYXRpbm9jeXRlcy4gSG93ZXZlciwgYm90aCBjZWxsIHN5c3RlbXMgaGF2ZSBzdWJvcHRpbWFsIGZlYXR1cmVzLCB3aXRoIEhhQ2FUIGNlbGxzIGV4aGliaXRpbmcgYSBsYXJnZSBudW1iZXIgb2YgY2hyb21vc29tYWwgYWJlcnJhdGlvbnMgYW5kIG11dGF0ZWQgcDUzIHR1bW9yIHN1cHByZXNzb3IsIHdoZXJlYXMgcHJpbWFyeSBrZXJhdGlub2N5dGVzIGFyZSBzaG9ydC1saXZlZCwgaGV0ZXJvZ2VuZW91cyBhbmQgbm90IHN1c2NlcHRpYmxlIHRvIGdlbmV0aWMgbW9kaWZpY2F0aW9ucyBkdWUgdG8gdGhlaXIgcmVzdHJpY3RlZCBsaWZlLXNwYW4uIFdlIGhhdmUgaGVyZSB0ZXN0ZWQgdGhlIHN1aXRhYmlsaXR5IG9mIHRoZSBjb21tZXJjaWFsbHkgYXZhaWxhYmxlIGh1bWFuIGtlcmF0aW5vY3l0ZSBjZWxsIGxpbmUgaFRlcnQvS0VSLUNUIGFzIGEgbW9kZWwgc3lzdGVtIGZvciByZXNlYXJjaCBvbiBlcGlkZXJtYWwgY2VsbCBhZGhlc2lvbiBhbmQgUGVtcGhpZ3VzIHBhdGhvbWVjaGFuaXNtcy4gV2UgaGVyZSBzaG93IHRoYXQgaFRlcnQgY2VsbHMgZXhoaWJpdCBhIGNhbGNpdW0gZGVwZW5kZW50IGV4cHJlc3Npb24gb2YgZGVzbW9zb21hbCBjYWRoZXJpbnMgYW5kIGFyZSB3ZWxsIHN1aXRhYmxlIGZvciB0eXBpY2FsIGFzc2F5cyB1c2VkIGZvciBzdHVkaWVzIG9uIFBlbXBoaWd1cywgc3VjaCBhcyBzZXF1ZW50aWFsIGRldGVyZ2VudCBleHRyYWN0aW9uIGFuZCBEaXNwYXNlLWJhc2VkIGRpc3NvY2lhdGlvbiBhc3NheS4gVHJlYXRtZW50IHdpdGggUGVtcGhpZ3VzIGF1dG8tYW50aWJvZGllcyByZXN1bHRzIGluIGxvc3Mgb2YgbW9ub2xheWVyIGludGVncml0eSBhbmQgYWx0ZXJlZCBsb2NhbGl6YXRpb24gb2YgZGVzbW9nbGVpbi0zLCBhcyB3ZWxsIGFzIGxvc3Mgb2YgY29sb2NhbGl6YXRpb24gd2l0aCBmbG90aWxsaW4tMi4gT3VyIGZpbmRpbmdzIGRlbW9uc3RyYXRlIHRoYXQgaFRlcnQgY2VsbHMgYXJlIHdlbGwgc3VpdGFibGUgZm9yIHN0dWRpZXMgb24gZXBpZGVybWFsIGNlbGwgYWRoZXNpb24gYW5kIFBlbXBoaWd1cyBwYXRob21lY2hhbmlzbXMuPC9wPiIsImlzc3VlIjoiMTMiLCJ2b2x1bWUiOiIyMCJ9LCJpc1RlbXBvcmFyeSI6ZmFsc2V9XX0=&quot;,&quot;citationItems&quot;:[{&quot;id&quot;:&quot;7f59ef23-b5d4-3ea8-a5a7-a43987e49dc2&quot;,&quot;itemData&quot;:{&quot;type&quot;:&quot;article-journal&quot;,&quot;id&quot;:&quot;7f59ef23-b5d4-3ea8-a5a7-a43987e49dc2&quot;,&quot;title&quot;:&quot;Immortalized Human hTert/KER-CT Keratinocytes a Model System for Research on Desmosomal Adhesion and Pathogenesis of Pemphigus Vulgaris&quot;,&quot;author&quot;:[{&quot;family&quot;:&quot;Beckert&quot;,&quot;given&quot;:&quot;Benedikt&quot;,&quot;parse-names&quot;:false,&quot;dropping-particle&quot;:&quot;&quot;,&quot;non-dropping-particle&quot;:&quot;&quot;},{&quot;family&quot;:&quot;Panico&quot;,&quot;given&quot;:&quot;Francesca&quot;,&quot;parse-names&quot;:false,&quot;dropping-particle&quot;:&quot;&quot;,&quot;non-dropping-particle&quot;:&quot;&quot;},{&quot;family&quot;:&quot;Pollmann&quot;,&quot;given&quot;:&quot;Robert&quot;,&quot;parse-names&quot;:false,&quot;dropping-particle&quot;:&quot;&quot;,&quot;non-dropping-particle&quot;:&quot;&quot;},{&quot;family&quot;:&quot;Eming&quot;,&quot;given&quot;:&quot;Rüdiger&quot;,&quot;parse-names&quot;:false,&quot;dropping-particle&quot;:&quot;&quot;,&quot;non-dropping-particle&quot;:&quot;&quot;},{&quot;family&quot;:&quot;Banning&quot;,&quot;given&quot;:&quot;Antje&quot;,&quot;parse-names&quot;:false,&quot;dropping-particle&quot;:&quot;&quot;,&quot;non-dropping-particle&quot;:&quot;&quot;},{&quot;family&quot;:&quot;Tikkanen&quot;,&quot;given&quot;:&quot;Ritva&quot;,&quot;parse-names&quot;:false,&quot;dropping-particle&quot;:&quot;&quot;,&quot;non-dropping-particle&quot;:&quot;&quot;}],&quot;container-title&quot;:&quot;International Journal of Molecular Sciences&quot;,&quot;container-title-short&quot;:&quot;Int J Mol Sci&quot;,&quot;DOI&quot;:&quot;10.3390/ijms20133113&quot;,&quot;ISSN&quot;:&quot;1422-0067&quot;,&quot;issued&quot;:{&quot;date-parts&quot;:[[2019,6,26]]},&quot;page&quot;:&quot;3113&quot;,&quot;abstract&quot;:&quot;&lt;p&gt;Pemphigus Vulgaris is an autoimmune disease that results in blister formation in the epidermis and in mucosal tissues due to antibodies recognizing desmosomal cadherins, mainly desmoglein-3 and -1. Studies on the molecular mechanisms of Pemphigus have mainly been carried out using the spontaneously immortalized human keratinocyte cell line HaCaT or in primary keratinocytes. However, both cell systems have suboptimal features, with HaCaT cells exhibiting a large number of chromosomal aberrations and mutated p53 tumor suppressor, whereas primary keratinocytes are short-lived, heterogeneous and not susceptible to genetic modifications due to their restricted life-span. We have here tested the suitability of the commercially available human keratinocyte cell line hTert/KER-CT as a model system for research on epidermal cell adhesion and Pemphigus pathomechanisms. We here show that hTert cells exhibit a calcium dependent expression of desmosomal cadherins and are well suitable for typical assays used for studies on Pemphigus, such as sequential detergent extraction and Dispase-based dissociation assay. Treatment with Pemphigus auto-antibodies results in loss of monolayer integrity and altered localization of desmoglein-3, as well as loss of colocalization with flotillin-2. Our findings demonstrate that hTert cells are well suitable for studies on epidermal cell adhesion and Pemphigus pathomechanisms.&lt;/p&gt;&quot;,&quot;issue&quot;:&quot;13&quot;,&quot;volume&quot;:&quot;20&quot;},&quot;isTemporary&quot;:false}]},{&quot;citationID&quot;:&quot;MENDELEY_CITATION_4639a272-31d6-4f6a-85c6-54e0f968409d&quot;,&quot;properties&quot;:{&quot;noteIndex&quot;:0},&quot;isEdited&quot;:false,&quot;manualOverride&quot;:{&quot;isManuallyOverridden&quot;:false,&quot;citeprocText&quot;:&quot;&lt;sup&gt;8&lt;/sup&gt;&quot;,&quot;manualOverrideText&quot;:&quot;&quot;},&quot;citationTag&quot;:&quot;MENDELEY_CITATION_v3_eyJjaXRhdGlvbklEIjoiTUVOREVMRVlfQ0lUQVRJT05fNDYzOWEyNzItMzFkNi00ZjZhLTg1YzYtNTRlMGY5Njg0MDlkIiwicHJvcGVydGllcyI6eyJub3RlSW5kZXgiOjB9LCJpc0VkaXRlZCI6ZmFsc2UsIm1hbnVhbE92ZXJyaWRlIjp7ImlzTWFudWFsbHlPdmVycmlkZGVuIjpmYWxzZSwiY2l0ZXByb2NUZXh0IjoiPHN1cD44PC9zdXA+IiwibWFudWFsT3ZlcnJpZGVUZXh0IjoiIn0sImNpdGF0aW9uSXRlbXMiOlt7ImlkIjoiNGJmZGZmZWItNzgwZS0zNGE4LTlkMjUtNTU5MzJjYzQ2MjVhIiwiaXRlbURhdGEiOnsidHlwZSI6ImFydGljbGUtam91cm5hbCIsImlkIjoiNGJmZGZmZWItNzgwZS0zNGE4LTlkMjUtNTU5MzJjYzQ2MjVhIiwidGl0bGUiOiJJbmR1Y3Rpb24gb2YgUGVtcGhpZ3VzIFBoZW5vdHlwZSBieSBhIE1vdXNlIE1vbm9jbG9uYWwgQW50aWJvZHkgQWdhaW5zdCB0aGUgQW1pbm8tVGVybWluYWwgQWRoZXNpdmUgSW50ZXJmYWNlIG9mIERlc21vZ2xlaW4gMyIsImF1dGhvciI6W3siZmFtaWx5IjoiVHN1bm9kYSIsImdpdmVuIjoiS2F6dXl1a2kiLCJwYXJzZS1uYW1lcyI6ZmFsc2UsImRyb3BwaW5nLXBhcnRpY2xlIjoiIiwibm9uLWRyb3BwaW5nLXBhcnRpY2xlIjoiIn0seyJmYW1pbHkiOiJPdGEiLCJnaXZlbiI6IlRha2F5dWtpIiwicGFyc2UtbmFtZXMiOmZhbHNlLCJkcm9wcGluZy1wYXJ0aWNsZSI6IiIsIm5vbi1kcm9wcGluZy1wYXJ0aWNsZSI6IiJ9LHsiZmFtaWx5IjoiQW9raSIsImdpdmVuIjoiTWl5byIsInBhcnNlLW5hbWVzIjpmYWxzZSwiZHJvcHBpbmctcGFydGljbGUiOiIiLCJub24tZHJvcHBpbmctcGFydGljbGUiOiIifSx7ImZhbWlseSI6IllhbWFkYSIsImdpdmVuIjoiVGFrZXRvIiwicGFyc2UtbmFtZXMiOmZhbHNlLCJkcm9wcGluZy1wYXJ0aWNsZSI6IiIsIm5vbi1kcm9wcGluZy1wYXJ0aWNsZSI6IiJ9LHsiZmFtaWx5IjoiTmFnYWkiLCJnaXZlbiI6IlRldHN1byIsInBhcnNlLW5hbWVzIjpmYWxzZSwiZHJvcHBpbmctcGFydGljbGUiOiIiLCJub24tZHJvcHBpbmctcGFydGljbGUiOiIifSx7ImZhbWlseSI6Ik5ha2FnYXdhIiwiZ2l2ZW4iOiJUYW5lYWtpIiwicGFyc2UtbmFtZXMiOmZhbHNlLCJkcm9wcGluZy1wYXJ0aWNsZSI6IiIsIm5vbi1kcm9wcGluZy1wYXJ0aWNsZSI6IiJ9LHsiZmFtaWx5IjoiS295YXN1IiwiZ2l2ZW4iOiJTaGlnZW8iLCJwYXJzZS1uYW1lcyI6ZmFsc2UsImRyb3BwaW5nLXBhcnRpY2xlIjoiIiwibm9uLWRyb3BwaW5nLXBhcnRpY2xlIjoiIn0seyJmYW1pbHkiOiJOaXNoaWthd2EiLCJnaXZlbiI6IlRha2VqaSIsInBhcnNlLW5hbWVzIjpmYWxzZSwiZHJvcHBpbmctcGFydGljbGUiOiIiLCJub24tZHJvcHBpbmctcGFydGljbGUiOiIifSx7ImZhbWlseSI6IkFtYWdhaSIsImdpdmVuIjoiTWFzYXl1a2kiLCJwYXJzZS1uYW1lcyI6ZmFsc2UsImRyb3BwaW5nLXBhcnRpY2xlIjoiIiwibm9uLWRyb3BwaW5nLXBhcnRpY2xlIjoiIn1dLCJjb250YWluZXItdGl0bGUiOiJUaGUgSm91cm5hbCBvZiBJbW11bm9sb2d5IiwiRE9JIjoiMTAuNDA0OS9qaW1tdW5vbC4xNzAuNC4yMTcwIiwiSVNTTiI6IjAwMjItMTc2NyIsImlzc3VlZCI6eyJkYXRlLXBhcnRzIjpbWzIwMDMsMiwxNV1dfSwicGFnZSI6IjIxNzAtMjE3OCIsImFic3RyYWN0IjoiPHA+UGVtcGhpZ3VzIHZ1bGdhcmlzIChQVikgaXMgYSBsaWZlLXRocmVhdGVuaW5nIGF1dG9pbW11bmUgYmxpc3RlcmluZyBkaXNlYXNlIHRoYXQgaXMgY2F1c2VkIGJ5IElnRyBhdXRvYW50aWJvZGllcyBhZ2FpbnN0IHRoZSBjYWRoZXJpbi10eXBlIGFkaGVzaW9uIG1vbGVjdWxlIGRlc21vZ2xlaW4gKERzZykzLiBQcmV2aW91c2x5LCB3ZSBoYXZlIGdlbmVyYXRlZCBhbiBhY3RpdmUgbW91c2UgbW9kZWwgZm9yIFBWIGJ5IGFkb3B0aXZlIHRyYW5zZmVyIG9mIERzZzPiiJIv4oiSIHNwbGVub2N5dGVzLiBJbiB0aGlzIHN0dWR5LCB3ZSBpc29sYXRlZCBlaWdodCBBSyBzZXJpZXMsIGFudGktRHNnMyBJZ0cgbUFicyBmcm9tIHRoZSBQViBtb3VzZSBtb2RlbCwgYW5kIGV4YW1pbmVkIHRoZWlyIHBhdGhvZ2VuaWMgYWN0aXZpdGllcyBpbiBpbmR1Y3Rpb24gb2YgYmxpc3RlciBmb3JtYXRpb24uIEludHJhcGVyaXRvbmVhbCBpbm9jdWxhdGlvbiBvZiB0aGUgQUsyMyBoeWJyaWRvbWEsIGJ1dCBub3QgdGhlIG90aGVyIEFLIGh5YnJpZG9tYXMsIGluZHVjZWQgdGhlIHZpcnR1YWxseSBpZGVudGljYWwgcGhlbm90eXBlIHRvIHRoYXQgb2YgUFYgbW9kZWwgbWljZSBvciBEc2cz4oiSL+KIkiBtaWNlIHdpdGggdHlwaWNhbCBoaXN0b2xvZ3kgb2YgUFYuIEVwaXRvcGUgbWFwcGluZyB3aXRoIGRvbWFpbi1zd2FwcGVkIGFuZCBwb2ludC1tdXRhdGVkIERzZzEvRHNnMyBtb2xlY3VsZXMgcmV2ZWFsZWQgdGhhdCBBSzIzIHJlY29nbml6ZWQgYSBjYWxjaXVtLWRlcGVuZGVudCBjb25mb3JtYXRpb25hbCBlcGl0b3BlIG9uIERzZzMsIHdoaWNoIGNvbnNpc3RlZCBvZiB0aGUgVjMsIEs3LCBQOCwgYW5kIEQ1OSBEc2czLXNwZWNpZmljIHJlc2lkdWVzIHRoYXQgZm9ybWVkIHRoZSBhZGhlc2l2ZSBpbnRlcmZhY2UgYmV0d2VlbiBqdXh0YXBvc2VkIERzZywgYXMgcHJlZGljdGVkIGJ5IHRoZSBjcnlzdGFsIHN0cnVjdHVyZS4gVGhlIGVwaXRvcGVzIG9mIHRoZSBtQWJzIHRoYXQgZmFpbGVkIHRvIHNob3cgYXBwYXJlbnQgcGF0aG9nZW5pYyBhY3Rpdml0eSB3ZXJlIG1hcHBlZCBpbiB0aGUgbWlkZGxlIHRvIGNhcmJveHlsLXRlcm1pbmFsIGV4dHJhY2VsbHVsYXIgcmVnaW9uIG9mIERzZzMsIHdoZXJlIG5vIGRpcmVjdCBpbnRlcm1vbGVjdWxhciBpbnRlcmFjdGlvbiB3YXMgcHJlZGljdGVkLiBUaGVzZSBmaW5kaW5ncyBkZW1vbnN0cmF0ZSB0aGUgcGF0aG9nZW5pYyBoZXRlcm9nZW5laXR5IGFtb25nIGFudGktRHNnMyBJZ0cgQWJzIGR1ZSB0byB0aGVpciBlcGl0b3BlcywgYW5kIHN1Z2dlc3QgdGhlIGRpcmVjdCBpbmhpYml0aW9uIG9mIGFkaGVzaXZlIGludGVyYWN0aW9uIG9mIERzZyBhcyBhbiBpbml0aWFsIG1vbGVjdWxhciBldmVudCBvZiBibGlzdGVyIGZvcm1hdGlvbiBpbiBwZW1waGlndXMuPC9wPiIsImlzc3VlIjoiNCIsInZvbHVtZSI6IjE3MCIsImNvbnRhaW5lci10aXRsZS1zaG9ydCI6IiJ9LCJpc1RlbXBvcmFyeSI6ZmFsc2V9XX0=&quot;,&quot;citationItems&quot;:[{&quot;id&quot;:&quot;4bfdffeb-780e-34a8-9d25-55932cc4625a&quot;,&quot;itemData&quot;:{&quot;type&quot;:&quot;article-journal&quot;,&quot;id&quot;:&quot;4bfdffeb-780e-34a8-9d25-55932cc4625a&quot;,&quot;title&quot;:&quot;Induction of Pemphigus Phenotype by a Mouse Monoclonal Antibody Against the Amino-Terminal Adhesive Interface of Desmoglein 3&quot;,&quot;author&quot;:[{&quot;family&quot;:&quot;Tsunoda&quot;,&quot;given&quot;:&quot;Kazuyuki&quot;,&quot;parse-names&quot;:false,&quot;dropping-particle&quot;:&quot;&quot;,&quot;non-dropping-particle&quot;:&quot;&quot;},{&quot;family&quot;:&quot;Ota&quot;,&quot;given&quot;:&quot;Takayuki&quot;,&quot;parse-names&quot;:false,&quot;dropping-particle&quot;:&quot;&quot;,&quot;non-dropping-particle&quot;:&quot;&quot;},{&quot;family&quot;:&quot;Aoki&quot;,&quot;given&quot;:&quot;Miyo&quot;,&quot;parse-names&quot;:false,&quot;dropping-particle&quot;:&quot;&quot;,&quot;non-dropping-particle&quot;:&quot;&quot;},{&quot;family&quot;:&quot;Yamada&quot;,&quot;given&quot;:&quot;Taketo&quot;,&quot;parse-names&quot;:false,&quot;dropping-particle&quot;:&quot;&quot;,&quot;non-dropping-particle&quot;:&quot;&quot;},{&quot;family&quot;:&quot;Nagai&quot;,&quot;given&quot;:&quot;Tetsuo&quot;,&quot;parse-names&quot;:false,&quot;dropping-particle&quot;:&quot;&quot;,&quot;non-dropping-particle&quot;:&quot;&quot;},{&quot;family&quot;:&quot;Nakagawa&quot;,&quot;given&quot;:&quot;Taneaki&quot;,&quot;parse-names&quot;:false,&quot;dropping-particle&quot;:&quot;&quot;,&quot;non-dropping-particle&quot;:&quot;&quot;},{&quot;family&quot;:&quot;Koyasu&quot;,&quot;given&quot;:&quot;Shigeo&quot;,&quot;parse-names&quot;:false,&quot;dropping-particle&quot;:&quot;&quot;,&quot;non-dropping-particle&quot;:&quot;&quot;},{&quot;family&quot;:&quot;Nishikawa&quot;,&quot;given&quot;:&quot;Takeji&quot;,&quot;parse-names&quot;:false,&quot;dropping-particle&quot;:&quot;&quot;,&quot;non-dropping-particle&quot;:&quot;&quot;},{&quot;family&quot;:&quot;Amagai&quot;,&quot;given&quot;:&quot;Masayuki&quot;,&quot;parse-names&quot;:false,&quot;dropping-particle&quot;:&quot;&quot;,&quot;non-dropping-particle&quot;:&quot;&quot;}],&quot;container-title&quot;:&quot;The Journal of Immunology&quot;,&quot;DOI&quot;:&quot;10.4049/jimmunol.170.4.2170&quot;,&quot;ISSN&quot;:&quot;0022-1767&quot;,&quot;issued&quot;:{&quot;date-parts&quot;:[[2003,2,15]]},&quot;page&quot;:&quot;2170-2178&quot;,&quot;abstract&quot;:&quot;&lt;p&gt;Pemphigus vulgaris (PV) is a life-threatening autoimmune blistering disease that is caused by IgG autoantibodies against the cadherin-type adhesion molecule desmoglein (Dsg)3. Previously, we have generated an active mouse model for PV by adoptive transfer of Dsg3−/− splenocytes. In this study, we isolated eight AK series, anti-Dsg3 IgG mAbs from the PV mouse model, and examined their pathogenic activities in induction of blister formation. Intraperitoneal inoculation of the AK23 hybridoma, but not the other AK hybridomas, induced the virtually identical phenotype to that of PV model mice or Dsg3−/− mice with typical histology of PV. Epitope mapping with domain-swapped and point-mutated Dsg1/Dsg3 molecules revealed that AK23 recognized a calcium-dependent conformational epitope on Dsg3, which consisted of the V3, K7, P8, and D59 Dsg3-specific residues that formed the adhesive interface between juxtaposed Dsg, as predicted by the crystal structure. The epitopes of the mAbs that failed to show apparent pathogenic activity were mapped in the middle to carboxyl-terminal extracellular region of Dsg3, where no direct intermolecular interaction was predicted. These findings demonstrate the pathogenic heterogeneity among anti-Dsg3 IgG Abs due to their epitopes, and suggest the direct inhibition of adhesive interaction of Dsg as an initial molecular event of blister formation in pemphigus.&lt;/p&gt;&quot;,&quot;issue&quot;:&quot;4&quot;,&quot;volume&quot;:&quot;170&quot;,&quot;container-title-short&quot;:&quot;&quot;},&quot;isTemporary&quot;:false}]}]"/>
    <we:property name="MENDELEY_CITATIONS_STYLE" value="{&quot;id&quot;:&quot;https://www.zotero.org/styles/vancouver-superscript&quot;,&quot;title&quot;:&quot;Vancouver (superscript)&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2fccf6-0e4d-4d10-ba83-60ab68dc1c02" xsi:nil="true"/>
    <lcf76f155ced4ddcb4097134ff3c332f xmlns="9ca88ba9-2824-4c09-980f-651a051050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DA5F617D453746BE72BA53CB816F25" ma:contentTypeVersion="15" ma:contentTypeDescription="Create a new document." ma:contentTypeScope="" ma:versionID="d30f9bfe035cf02ce2003faf8e8477c5">
  <xsd:schema xmlns:xsd="http://www.w3.org/2001/XMLSchema" xmlns:xs="http://www.w3.org/2001/XMLSchema" xmlns:p="http://schemas.microsoft.com/office/2006/metadata/properties" xmlns:ns2="9ca88ba9-2824-4c09-980f-651a051050a1" xmlns:ns3="142fccf6-0e4d-4d10-ba83-60ab68dc1c02" targetNamespace="http://schemas.microsoft.com/office/2006/metadata/properties" ma:root="true" ma:fieldsID="00bbc105f3a0e82223b6ffe943ffe937" ns2:_="" ns3:_="">
    <xsd:import namespace="9ca88ba9-2824-4c09-980f-651a051050a1"/>
    <xsd:import namespace="142fccf6-0e4d-4d10-ba83-60ab68dc1c02"/>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88ba9-2824-4c09-980f-651a051050a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653c89ff-241e-4494-8f6a-78cb1e7fb8f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2fccf6-0e4d-4d10-ba83-60ab68dc1c02"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76098e-cbc5-4283-a884-893dc890dea2}" ma:internalName="TaxCatchAll" ma:showField="CatchAllData" ma:web="142fccf6-0e4d-4d10-ba83-60ab68dc1c0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1621D-B9EA-4493-923F-2BDDC884B384}">
  <ds:schemaRefs>
    <ds:schemaRef ds:uri="http://www.w3.org/XML/1998/namespace"/>
    <ds:schemaRef ds:uri="http://purl.org/dc/elements/1.1/"/>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142fccf6-0e4d-4d10-ba83-60ab68dc1c02"/>
    <ds:schemaRef ds:uri="9ca88ba9-2824-4c09-980f-651a051050a1"/>
  </ds:schemaRefs>
</ds:datastoreItem>
</file>

<file path=customXml/itemProps2.xml><?xml version="1.0" encoding="utf-8"?>
<ds:datastoreItem xmlns:ds="http://schemas.openxmlformats.org/officeDocument/2006/customXml" ds:itemID="{81744C33-B501-4127-9B6A-607E101F4157}">
  <ds:schemaRefs>
    <ds:schemaRef ds:uri="http://schemas.microsoft.com/sharepoint/v3/contenttype/forms"/>
  </ds:schemaRefs>
</ds:datastoreItem>
</file>

<file path=customXml/itemProps3.xml><?xml version="1.0" encoding="utf-8"?>
<ds:datastoreItem xmlns:ds="http://schemas.openxmlformats.org/officeDocument/2006/customXml" ds:itemID="{B4159523-8E70-429C-B1B8-72AA06325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88ba9-2824-4c09-980f-651a051050a1"/>
    <ds:schemaRef ds:uri="142fccf6-0e4d-4d10-ba83-60ab68dc1c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1FB5C4-2B0C-460A-9076-823CAAFB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2719</Words>
  <Characters>17134</Characters>
  <Application>Microsoft Office Word</Application>
  <DocSecurity>0</DocSecurity>
  <Lines>142</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Shu-Hung Wang</dc:creator>
  <cp:keywords/>
  <dc:description/>
  <cp:lastModifiedBy>Möbs, Christian [UMR]</cp:lastModifiedBy>
  <cp:revision>3</cp:revision>
  <dcterms:created xsi:type="dcterms:W3CDTF">2025-06-11T13:22:00Z</dcterms:created>
  <dcterms:modified xsi:type="dcterms:W3CDTF">2025-06-11T13:22:00Z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0x01010060DA5F617D453746BE72BA53CB816F25</vt:lpwstr>
  </property>
  <property fmtid="{D5CDD505-2E9C-101B-9397-08002B2CF9AE}" pid="3" name="MediaServiceImageTags">
    <vt:lpwstr/>
  </property>
</Properties>
</file>